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75" w:rsidRDefault="000A3ECA">
      <w:r>
        <w:rPr>
          <w:rFonts w:ascii="Times New Roman" w:eastAsia="Times New Roman" w:hAnsi="Times New Roman" w:cs="Times New Roman"/>
          <w:b/>
          <w:bCs/>
          <w:noProof/>
          <w:kern w:val="36"/>
          <w:sz w:val="48"/>
          <w:szCs w:val="48"/>
        </w:rPr>
        <w:drawing>
          <wp:inline distT="0" distB="0" distL="0" distR="0" wp14:anchorId="46CB913B" wp14:editId="0A8F5942">
            <wp:extent cx="6858000" cy="1442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442720"/>
                    </a:xfrm>
                    <a:prstGeom prst="rect">
                      <a:avLst/>
                    </a:prstGeom>
                    <a:noFill/>
                    <a:ln>
                      <a:noFill/>
                    </a:ln>
                  </pic:spPr>
                </pic:pic>
              </a:graphicData>
            </a:graphic>
          </wp:inline>
        </w:drawing>
      </w:r>
    </w:p>
    <w:p w:rsidR="006560E4" w:rsidRPr="004216C5" w:rsidRDefault="000A3ECA" w:rsidP="006560E4">
      <w:pPr>
        <w:spacing w:after="0" w:line="240" w:lineRule="auto"/>
        <w:rPr>
          <w:rFonts w:eastAsia="Calibri"/>
          <w:sz w:val="40"/>
          <w:szCs w:val="40"/>
        </w:rPr>
      </w:pPr>
      <w:r w:rsidRPr="00125451">
        <w:rPr>
          <w:rStyle w:val="heading10"/>
          <w:color w:val="auto"/>
          <w:sz w:val="48"/>
          <w:szCs w:val="48"/>
        </w:rPr>
        <w:t>#4 Settlement Policies and Procedures</w:t>
      </w:r>
    </w:p>
    <w:p w:rsidR="0063764C" w:rsidRDefault="0063764C">
      <w:pPr>
        <w:rPr>
          <w:rStyle w:val="subheading1"/>
          <w:color w:val="auto"/>
        </w:rPr>
      </w:pPr>
    </w:p>
    <w:p w:rsidR="00181097" w:rsidRPr="007A0FF0" w:rsidRDefault="00181097" w:rsidP="00181097">
      <w:pPr>
        <w:pBdr>
          <w:top w:val="single" w:sz="4" w:space="1" w:color="auto"/>
          <w:left w:val="single" w:sz="4" w:space="4" w:color="auto"/>
          <w:bottom w:val="single" w:sz="4" w:space="1" w:color="auto"/>
          <w:right w:val="single" w:sz="4" w:space="4" w:color="auto"/>
        </w:pBdr>
        <w:jc w:val="center"/>
        <w:rPr>
          <w:rFonts w:asciiTheme="majorHAnsi" w:eastAsia="Times New Roman" w:hAnsiTheme="majorHAnsi" w:cs="Arial"/>
          <w:b/>
          <w:color w:val="548DD4" w:themeColor="text2" w:themeTint="99"/>
          <w:sz w:val="28"/>
          <w:szCs w:val="28"/>
          <w:u w:val="single"/>
        </w:rPr>
      </w:pPr>
      <w:r w:rsidRPr="007A0FF0">
        <w:rPr>
          <w:rFonts w:asciiTheme="majorHAnsi" w:eastAsia="Times New Roman" w:hAnsiTheme="majorHAnsi" w:cs="Arial"/>
          <w:b/>
          <w:color w:val="548DD4" w:themeColor="text2" w:themeTint="99"/>
          <w:sz w:val="28"/>
          <w:szCs w:val="28"/>
          <w:u w:val="single"/>
        </w:rPr>
        <w:t>SAMPLE WRITTEN POLICY: FOR SETTLEMENT POLICIES &amp; PROCEDURES</w:t>
      </w:r>
    </w:p>
    <w:p w:rsidR="00181097" w:rsidRPr="007249EE" w:rsidRDefault="00181097" w:rsidP="00181097">
      <w:pPr>
        <w:pStyle w:val="ListParagraph"/>
        <w:numPr>
          <w:ilvl w:val="0"/>
          <w:numId w:val="12"/>
        </w:numPr>
        <w:spacing w:before="0" w:after="200" w:line="276" w:lineRule="auto"/>
        <w:ind w:left="360"/>
        <w:rPr>
          <w:rFonts w:ascii="Arial" w:hAnsi="Arial" w:cs="Arial"/>
          <w:color w:val="000000"/>
        </w:rPr>
      </w:pPr>
      <w:r>
        <w:rPr>
          <w:rFonts w:ascii="Arial" w:hAnsi="Arial" w:cs="Arial"/>
          <w:color w:val="000000"/>
        </w:rPr>
        <w:t>The Firm</w:t>
      </w:r>
      <w:r w:rsidRPr="007249EE">
        <w:rPr>
          <w:rFonts w:ascii="Arial" w:hAnsi="Arial" w:cs="Arial"/>
          <w:color w:val="000000"/>
        </w:rPr>
        <w:t xml:space="preserve"> acknowledge</w:t>
      </w:r>
      <w:r>
        <w:rPr>
          <w:rFonts w:ascii="Arial" w:hAnsi="Arial" w:cs="Arial"/>
          <w:color w:val="000000"/>
        </w:rPr>
        <w:t>s</w:t>
      </w:r>
      <w:r w:rsidRPr="007249EE">
        <w:rPr>
          <w:rFonts w:ascii="Arial" w:hAnsi="Arial" w:cs="Arial"/>
          <w:color w:val="000000"/>
        </w:rPr>
        <w:t xml:space="preserve"> that Lenders expect full disclosure of all receipts and disbursements in accordance with written mutual instructions. </w:t>
      </w:r>
    </w:p>
    <w:p w:rsidR="00181097" w:rsidRPr="007249EE" w:rsidRDefault="00181097" w:rsidP="00181097">
      <w:pPr>
        <w:pStyle w:val="ListParagraph"/>
        <w:numPr>
          <w:ilvl w:val="0"/>
          <w:numId w:val="12"/>
        </w:numPr>
        <w:spacing w:before="0" w:after="200" w:line="276" w:lineRule="auto"/>
        <w:ind w:left="360"/>
        <w:rPr>
          <w:rFonts w:ascii="Arial" w:hAnsi="Arial" w:cs="Arial"/>
          <w:color w:val="000000"/>
          <w:u w:val="single"/>
        </w:rPr>
      </w:pPr>
      <w:r w:rsidRPr="007249EE">
        <w:rPr>
          <w:rFonts w:ascii="Arial" w:hAnsi="Arial" w:cs="Arial"/>
          <w:color w:val="000000"/>
        </w:rPr>
        <w:t>All sets of Closing Instructions are collected and reviewed prior to closing.</w:t>
      </w:r>
    </w:p>
    <w:p w:rsidR="00181097" w:rsidRPr="007249EE" w:rsidRDefault="00181097" w:rsidP="00181097">
      <w:pPr>
        <w:pStyle w:val="ListParagraph"/>
        <w:numPr>
          <w:ilvl w:val="0"/>
          <w:numId w:val="12"/>
        </w:numPr>
        <w:spacing w:before="0" w:after="200" w:line="276" w:lineRule="auto"/>
        <w:ind w:left="360"/>
        <w:rPr>
          <w:rFonts w:ascii="Arial" w:hAnsi="Arial" w:cs="Arial"/>
          <w:color w:val="000000"/>
        </w:rPr>
      </w:pPr>
      <w:r w:rsidRPr="007249EE">
        <w:rPr>
          <w:rFonts w:ascii="Arial" w:hAnsi="Arial" w:cs="Arial"/>
          <w:color w:val="000000"/>
        </w:rPr>
        <w:t xml:space="preserve">If any one set of Closing Instructions is adverse to another </w:t>
      </w:r>
      <w:r>
        <w:rPr>
          <w:rFonts w:ascii="Arial" w:hAnsi="Arial" w:cs="Arial"/>
          <w:color w:val="000000"/>
        </w:rPr>
        <w:t>set of closing instructions – the Firm</w:t>
      </w:r>
      <w:r w:rsidRPr="007249EE">
        <w:rPr>
          <w:rFonts w:ascii="Arial" w:hAnsi="Arial" w:cs="Arial"/>
          <w:color w:val="000000"/>
        </w:rPr>
        <w:t xml:space="preserve"> obtain</w:t>
      </w:r>
      <w:r>
        <w:rPr>
          <w:rFonts w:ascii="Arial" w:hAnsi="Arial" w:cs="Arial"/>
          <w:color w:val="000000"/>
        </w:rPr>
        <w:t>s</w:t>
      </w:r>
      <w:r w:rsidRPr="007249EE">
        <w:rPr>
          <w:rFonts w:ascii="Arial" w:hAnsi="Arial" w:cs="Arial"/>
          <w:color w:val="000000"/>
        </w:rPr>
        <w:t xml:space="preserve"> </w:t>
      </w:r>
      <w:r w:rsidRPr="007249EE">
        <w:rPr>
          <w:rFonts w:ascii="Arial" w:hAnsi="Arial" w:cs="Arial"/>
          <w:b/>
          <w:i/>
          <w:color w:val="000000"/>
        </w:rPr>
        <w:t>in writing from all parties</w:t>
      </w:r>
      <w:r w:rsidRPr="007249EE">
        <w:rPr>
          <w:rFonts w:ascii="Arial" w:hAnsi="Arial" w:cs="Arial"/>
          <w:color w:val="000000"/>
        </w:rPr>
        <w:t xml:space="preserve"> consent to the changes made to correct the adverse matters </w:t>
      </w:r>
      <w:r w:rsidRPr="007249EE">
        <w:rPr>
          <w:rFonts w:ascii="Arial" w:hAnsi="Arial" w:cs="Arial"/>
          <w:b/>
          <w:color w:val="000000"/>
        </w:rPr>
        <w:t>prior</w:t>
      </w:r>
      <w:r w:rsidRPr="007249EE">
        <w:rPr>
          <w:rFonts w:ascii="Arial" w:hAnsi="Arial" w:cs="Arial"/>
          <w:color w:val="000000"/>
        </w:rPr>
        <w:t xml:space="preserve"> to closing.</w:t>
      </w:r>
    </w:p>
    <w:p w:rsidR="00181097" w:rsidRPr="007249EE" w:rsidRDefault="00181097" w:rsidP="00181097">
      <w:pPr>
        <w:pStyle w:val="ListParagraph"/>
        <w:numPr>
          <w:ilvl w:val="0"/>
          <w:numId w:val="12"/>
        </w:numPr>
        <w:spacing w:before="0" w:after="200" w:line="276" w:lineRule="auto"/>
        <w:ind w:left="360"/>
        <w:rPr>
          <w:rFonts w:ascii="Arial" w:hAnsi="Arial" w:cs="Arial"/>
          <w:color w:val="000000"/>
          <w:u w:val="single"/>
        </w:rPr>
      </w:pPr>
      <w:r w:rsidRPr="007249EE">
        <w:rPr>
          <w:rFonts w:ascii="Arial" w:hAnsi="Arial" w:cs="Arial"/>
          <w:color w:val="000000"/>
        </w:rPr>
        <w:t>The closing is performed in accordance to all instructions from:</w:t>
      </w:r>
    </w:p>
    <w:p w:rsidR="00181097" w:rsidRPr="007249EE" w:rsidRDefault="00181097" w:rsidP="00181097">
      <w:pPr>
        <w:pStyle w:val="ListParagraph"/>
        <w:ind w:left="1080"/>
        <w:rPr>
          <w:rFonts w:ascii="Arial" w:hAnsi="Arial" w:cs="Arial"/>
          <w:color w:val="000000"/>
        </w:rPr>
      </w:pPr>
      <w:r w:rsidRPr="007249EE">
        <w:rPr>
          <w:rFonts w:ascii="Arial" w:hAnsi="Arial" w:cs="Arial"/>
          <w:color w:val="000000"/>
        </w:rPr>
        <w:t>a) Lender Closing Instructions</w:t>
      </w:r>
    </w:p>
    <w:p w:rsidR="00181097" w:rsidRPr="007249EE" w:rsidRDefault="00181097" w:rsidP="00181097">
      <w:pPr>
        <w:pStyle w:val="ListParagraph"/>
        <w:ind w:left="1080"/>
        <w:rPr>
          <w:rFonts w:ascii="Arial" w:hAnsi="Arial" w:cs="Arial"/>
          <w:color w:val="000000"/>
        </w:rPr>
      </w:pPr>
      <w:r w:rsidRPr="007249EE">
        <w:rPr>
          <w:rFonts w:ascii="Arial" w:hAnsi="Arial" w:cs="Arial"/>
          <w:color w:val="000000"/>
        </w:rPr>
        <w:t>b) Title Commitment</w:t>
      </w:r>
    </w:p>
    <w:p w:rsidR="00181097" w:rsidRPr="007249EE" w:rsidRDefault="00181097" w:rsidP="00181097">
      <w:pPr>
        <w:pStyle w:val="ListParagraph"/>
        <w:ind w:left="1080"/>
        <w:rPr>
          <w:rFonts w:ascii="Arial" w:hAnsi="Arial" w:cs="Arial"/>
          <w:color w:val="000000"/>
        </w:rPr>
      </w:pPr>
      <w:r w:rsidRPr="007249EE">
        <w:rPr>
          <w:rFonts w:ascii="Arial" w:hAnsi="Arial" w:cs="Arial"/>
          <w:color w:val="000000"/>
        </w:rPr>
        <w:t>c) Purchase Agreement</w:t>
      </w:r>
    </w:p>
    <w:p w:rsidR="00181097" w:rsidRPr="007249EE" w:rsidRDefault="00181097" w:rsidP="00181097">
      <w:pPr>
        <w:pStyle w:val="ListParagraph"/>
        <w:ind w:left="1080"/>
        <w:rPr>
          <w:rFonts w:ascii="Arial" w:hAnsi="Arial" w:cs="Arial"/>
          <w:color w:val="000000"/>
        </w:rPr>
      </w:pPr>
      <w:r w:rsidRPr="007249EE">
        <w:rPr>
          <w:rFonts w:ascii="Arial" w:hAnsi="Arial" w:cs="Arial"/>
          <w:color w:val="000000"/>
        </w:rPr>
        <w:t>d) Any other misc. agreements (Escrow Agreements, etc.)</w:t>
      </w:r>
    </w:p>
    <w:p w:rsidR="00181097" w:rsidRPr="007249EE" w:rsidRDefault="00181097" w:rsidP="00181097">
      <w:pPr>
        <w:pStyle w:val="ListParagraph"/>
        <w:numPr>
          <w:ilvl w:val="0"/>
          <w:numId w:val="12"/>
        </w:numPr>
        <w:spacing w:before="0" w:after="200" w:line="276" w:lineRule="auto"/>
        <w:ind w:left="360"/>
        <w:rPr>
          <w:rFonts w:ascii="Arial" w:hAnsi="Arial" w:cs="Arial"/>
          <w:color w:val="000000"/>
        </w:rPr>
      </w:pPr>
      <w:r>
        <w:rPr>
          <w:rFonts w:ascii="Arial" w:hAnsi="Arial" w:cs="Arial"/>
          <w:color w:val="000000"/>
        </w:rPr>
        <w:t>Follow all</w:t>
      </w:r>
      <w:r w:rsidRPr="007249EE">
        <w:rPr>
          <w:rFonts w:ascii="Arial" w:hAnsi="Arial" w:cs="Arial"/>
          <w:color w:val="000000"/>
        </w:rPr>
        <w:t xml:space="preserve"> </w:t>
      </w:r>
      <w:r>
        <w:rPr>
          <w:rFonts w:ascii="Arial" w:hAnsi="Arial" w:cs="Arial"/>
          <w:color w:val="000000"/>
        </w:rPr>
        <w:t>r</w:t>
      </w:r>
      <w:r w:rsidRPr="007249EE">
        <w:rPr>
          <w:rFonts w:ascii="Arial" w:hAnsi="Arial" w:cs="Arial"/>
          <w:color w:val="000000"/>
        </w:rPr>
        <w:t>egulations</w:t>
      </w:r>
      <w:r>
        <w:rPr>
          <w:rFonts w:ascii="Arial" w:hAnsi="Arial" w:cs="Arial"/>
          <w:color w:val="000000"/>
        </w:rPr>
        <w:t xml:space="preserve"> and lender instructions</w:t>
      </w:r>
      <w:r w:rsidRPr="007249EE">
        <w:rPr>
          <w:rFonts w:ascii="Arial" w:hAnsi="Arial" w:cs="Arial"/>
          <w:color w:val="000000"/>
        </w:rPr>
        <w:t xml:space="preserve"> in preparation of the Settlement Statements and be sure that ALL disbursement checks MATCH EXACTLY</w:t>
      </w:r>
      <w:r>
        <w:rPr>
          <w:rFonts w:ascii="Arial" w:hAnsi="Arial" w:cs="Arial"/>
          <w:color w:val="000000"/>
        </w:rPr>
        <w:t xml:space="preserve"> as to what is shown on the final </w:t>
      </w:r>
      <w:r w:rsidRPr="007249EE">
        <w:rPr>
          <w:rFonts w:ascii="Arial" w:hAnsi="Arial" w:cs="Arial"/>
          <w:color w:val="000000"/>
        </w:rPr>
        <w:t>Settlement Statement.</w:t>
      </w:r>
    </w:p>
    <w:p w:rsidR="00181097" w:rsidRPr="00792FCA" w:rsidRDefault="00181097" w:rsidP="00792FCA">
      <w:pPr>
        <w:spacing w:after="0" w:line="240" w:lineRule="auto"/>
        <w:jc w:val="center"/>
        <w:rPr>
          <w:rFonts w:ascii="Arial" w:hAnsi="Arial" w:cs="Arial"/>
          <w:b/>
          <w:color w:val="548DD4" w:themeColor="text2" w:themeTint="99"/>
          <w:sz w:val="28"/>
          <w:szCs w:val="28"/>
          <w:u w:val="single"/>
        </w:rPr>
      </w:pPr>
      <w:r w:rsidRPr="00792FCA">
        <w:rPr>
          <w:rFonts w:ascii="Arial" w:hAnsi="Arial" w:cs="Arial"/>
          <w:b/>
          <w:color w:val="548DD4" w:themeColor="text2" w:themeTint="99"/>
          <w:sz w:val="28"/>
          <w:szCs w:val="28"/>
          <w:u w:val="single"/>
        </w:rPr>
        <w:t xml:space="preserve">Specific Detailed Guidelines:  Disbursement </w:t>
      </w:r>
      <w:proofErr w:type="gramStart"/>
      <w:r w:rsidRPr="00792FCA">
        <w:rPr>
          <w:rFonts w:ascii="Arial" w:hAnsi="Arial" w:cs="Arial"/>
          <w:b/>
          <w:color w:val="548DD4" w:themeColor="text2" w:themeTint="99"/>
          <w:sz w:val="28"/>
          <w:szCs w:val="28"/>
          <w:u w:val="single"/>
        </w:rPr>
        <w:t>Of</w:t>
      </w:r>
      <w:proofErr w:type="gramEnd"/>
      <w:r w:rsidRPr="00792FCA">
        <w:rPr>
          <w:rFonts w:ascii="Arial" w:hAnsi="Arial" w:cs="Arial"/>
          <w:b/>
          <w:color w:val="548DD4" w:themeColor="text2" w:themeTint="99"/>
          <w:sz w:val="28"/>
          <w:szCs w:val="28"/>
          <w:u w:val="single"/>
        </w:rPr>
        <w:t xml:space="preserve"> Proceeds</w:t>
      </w:r>
    </w:p>
    <w:p w:rsidR="00181097" w:rsidRPr="00792FCA" w:rsidRDefault="00181097" w:rsidP="00181097">
      <w:pPr>
        <w:spacing w:after="0" w:line="240" w:lineRule="auto"/>
        <w:rPr>
          <w:rFonts w:ascii="Arial" w:hAnsi="Arial" w:cs="Arial"/>
          <w:b/>
          <w:sz w:val="20"/>
          <w:szCs w:val="20"/>
          <w:u w:val="single"/>
        </w:rPr>
      </w:pPr>
    </w:p>
    <w:p w:rsidR="00181097" w:rsidRPr="00792FCA" w:rsidRDefault="00181097" w:rsidP="00181097">
      <w:pPr>
        <w:spacing w:after="0" w:line="240" w:lineRule="auto"/>
        <w:rPr>
          <w:rFonts w:ascii="Arial" w:hAnsi="Arial" w:cs="Arial"/>
          <w:b/>
          <w:sz w:val="20"/>
          <w:szCs w:val="20"/>
          <w:u w:val="single"/>
        </w:rPr>
      </w:pPr>
      <w:r w:rsidRPr="00792FCA">
        <w:rPr>
          <w:rFonts w:ascii="Arial" w:hAnsi="Arial" w:cs="Arial"/>
          <w:b/>
          <w:sz w:val="20"/>
          <w:szCs w:val="20"/>
          <w:u w:val="single"/>
        </w:rPr>
        <w:t>Buyer/Borrower Proceeds:</w:t>
      </w:r>
    </w:p>
    <w:p w:rsidR="00181097" w:rsidRPr="0014197E" w:rsidRDefault="00181097" w:rsidP="0014197E">
      <w:pPr>
        <w:pStyle w:val="ListParagraph"/>
        <w:numPr>
          <w:ilvl w:val="0"/>
          <w:numId w:val="21"/>
        </w:numPr>
        <w:spacing w:after="0"/>
        <w:rPr>
          <w:rFonts w:ascii="Arial" w:hAnsi="Arial" w:cs="Arial"/>
        </w:rPr>
      </w:pPr>
      <w:bookmarkStart w:id="0" w:name="_GoBack"/>
      <w:r w:rsidRPr="0014197E">
        <w:rPr>
          <w:rFonts w:ascii="Arial" w:hAnsi="Arial" w:cs="Arial"/>
        </w:rPr>
        <w:t xml:space="preserve">Any amount shown as funds due from Buyer/Borrower on the Settlement Statement must come into the Firm’s trust account from the borrower or be disbursed to the borrower as shown. </w:t>
      </w:r>
    </w:p>
    <w:p w:rsidR="00181097" w:rsidRPr="0014197E" w:rsidRDefault="00181097" w:rsidP="0014197E">
      <w:pPr>
        <w:pStyle w:val="ListParagraph"/>
        <w:numPr>
          <w:ilvl w:val="0"/>
          <w:numId w:val="21"/>
        </w:numPr>
        <w:spacing w:after="0"/>
        <w:rPr>
          <w:rFonts w:ascii="Arial" w:hAnsi="Arial" w:cs="Arial"/>
        </w:rPr>
      </w:pPr>
      <w:r w:rsidRPr="0014197E">
        <w:rPr>
          <w:rFonts w:ascii="Arial" w:hAnsi="Arial" w:cs="Arial"/>
        </w:rPr>
        <w:t>Any funds received by any other party must reflect on the appropriate line, designating the source of funds.</w:t>
      </w:r>
    </w:p>
    <w:bookmarkEnd w:id="0"/>
    <w:p w:rsidR="00181097" w:rsidRPr="00792FCA" w:rsidRDefault="00181097" w:rsidP="00181097">
      <w:pPr>
        <w:spacing w:after="0" w:line="240" w:lineRule="auto"/>
        <w:rPr>
          <w:rFonts w:ascii="Arial" w:hAnsi="Arial" w:cs="Arial"/>
          <w:b/>
          <w:sz w:val="20"/>
          <w:szCs w:val="20"/>
          <w:u w:val="single"/>
        </w:rPr>
      </w:pPr>
    </w:p>
    <w:p w:rsidR="00181097" w:rsidRPr="00792FCA" w:rsidRDefault="00181097" w:rsidP="00181097">
      <w:pPr>
        <w:spacing w:after="0" w:line="240" w:lineRule="auto"/>
        <w:rPr>
          <w:rFonts w:ascii="Arial" w:hAnsi="Arial" w:cs="Arial"/>
          <w:b/>
          <w:sz w:val="20"/>
          <w:szCs w:val="20"/>
          <w:u w:val="single"/>
        </w:rPr>
      </w:pPr>
      <w:r w:rsidRPr="00792FCA">
        <w:rPr>
          <w:rFonts w:ascii="Arial" w:hAnsi="Arial" w:cs="Arial"/>
          <w:b/>
          <w:sz w:val="20"/>
          <w:szCs w:val="20"/>
          <w:u w:val="single"/>
        </w:rPr>
        <w:t>Seller Proceeds:</w:t>
      </w:r>
    </w:p>
    <w:p w:rsidR="00181097" w:rsidRPr="00792FCA" w:rsidRDefault="00181097" w:rsidP="0014197E">
      <w:pPr>
        <w:pStyle w:val="NormalWeb"/>
        <w:numPr>
          <w:ilvl w:val="0"/>
          <w:numId w:val="20"/>
        </w:numPr>
        <w:spacing w:before="0" w:beforeAutospacing="0" w:after="0" w:afterAutospacing="0"/>
        <w:rPr>
          <w:rFonts w:ascii="Arial" w:hAnsi="Arial" w:cs="Arial"/>
          <w:sz w:val="20"/>
          <w:szCs w:val="20"/>
        </w:rPr>
      </w:pPr>
      <w:r w:rsidRPr="00792FCA">
        <w:rPr>
          <w:rFonts w:ascii="Arial" w:hAnsi="Arial" w:cs="Arial"/>
          <w:sz w:val="20"/>
          <w:szCs w:val="20"/>
        </w:rPr>
        <w:t xml:space="preserve">Seller proceeds must not be assigned other than as accurately reflected and approved by all parties and are disbursed to Seller, as defined in the Loan Closing instructions and Settlement Statement.  Where the Seller requests the proceeds to be paid otherwise, pre-closing clearance is obtained by us.  </w:t>
      </w:r>
    </w:p>
    <w:p w:rsidR="00181097" w:rsidRPr="00792FCA" w:rsidRDefault="00181097" w:rsidP="0014197E">
      <w:pPr>
        <w:pStyle w:val="NormalWeb"/>
        <w:numPr>
          <w:ilvl w:val="0"/>
          <w:numId w:val="20"/>
        </w:numPr>
        <w:spacing w:before="0" w:beforeAutospacing="0" w:after="0" w:afterAutospacing="0"/>
        <w:rPr>
          <w:rFonts w:ascii="Arial" w:hAnsi="Arial" w:cs="Arial"/>
          <w:sz w:val="20"/>
          <w:szCs w:val="20"/>
        </w:rPr>
      </w:pPr>
      <w:r w:rsidRPr="00792FCA">
        <w:rPr>
          <w:rFonts w:ascii="Arial" w:hAnsi="Arial" w:cs="Arial"/>
          <w:sz w:val="20"/>
          <w:szCs w:val="20"/>
        </w:rPr>
        <w:t xml:space="preserve">Multiple disbursements to the same payee are not acceptable especially when asked to disburse in increments of $10,000 or less as this may be perceived as participation in a money laundering scheme. </w:t>
      </w:r>
    </w:p>
    <w:p w:rsidR="00181097" w:rsidRPr="00792FCA" w:rsidRDefault="00181097" w:rsidP="0014197E">
      <w:pPr>
        <w:pStyle w:val="NormalWeb"/>
        <w:numPr>
          <w:ilvl w:val="0"/>
          <w:numId w:val="20"/>
        </w:numPr>
        <w:spacing w:before="0" w:beforeAutospacing="0" w:after="0" w:afterAutospacing="0"/>
        <w:rPr>
          <w:rFonts w:ascii="Arial" w:hAnsi="Arial" w:cs="Arial"/>
          <w:sz w:val="20"/>
          <w:szCs w:val="20"/>
        </w:rPr>
      </w:pPr>
      <w:r w:rsidRPr="00792FCA">
        <w:rPr>
          <w:rFonts w:ascii="Arial" w:hAnsi="Arial" w:cs="Arial"/>
          <w:sz w:val="20"/>
          <w:szCs w:val="20"/>
        </w:rPr>
        <w:t xml:space="preserve">Borrower proceeds from a refinance, if any, are only </w:t>
      </w:r>
      <w:proofErr w:type="gramStart"/>
      <w:r w:rsidRPr="00792FCA">
        <w:rPr>
          <w:rFonts w:ascii="Arial" w:hAnsi="Arial" w:cs="Arial"/>
          <w:sz w:val="20"/>
          <w:szCs w:val="20"/>
        </w:rPr>
        <w:t>be</w:t>
      </w:r>
      <w:proofErr w:type="gramEnd"/>
      <w:r w:rsidRPr="00792FCA">
        <w:rPr>
          <w:rFonts w:ascii="Arial" w:hAnsi="Arial" w:cs="Arial"/>
          <w:sz w:val="20"/>
          <w:szCs w:val="20"/>
        </w:rPr>
        <w:t xml:space="preserve"> paid in strict compliance with the written closing instructions provided by the funding lender. Pre-closing consent is obtained from the lender on any request to pay additional parties.  If such consent is paid, the changes are listed on the Settlement Statement.  The Firm does not rely on approval of the mortgage broker.  Additionally, the funder’s approval of the Settlement Statement is not sufficient. </w:t>
      </w:r>
    </w:p>
    <w:p w:rsidR="00181097" w:rsidRPr="00792FCA" w:rsidRDefault="00181097" w:rsidP="0014197E">
      <w:pPr>
        <w:pStyle w:val="NormalWeb"/>
        <w:numPr>
          <w:ilvl w:val="0"/>
          <w:numId w:val="20"/>
        </w:numPr>
        <w:spacing w:before="0" w:beforeAutospacing="0" w:after="0" w:afterAutospacing="0"/>
        <w:rPr>
          <w:rFonts w:ascii="Arial" w:hAnsi="Arial" w:cs="Arial"/>
          <w:sz w:val="20"/>
          <w:szCs w:val="20"/>
        </w:rPr>
      </w:pPr>
      <w:r w:rsidRPr="00792FCA">
        <w:rPr>
          <w:rFonts w:ascii="Arial" w:hAnsi="Arial" w:cs="Arial"/>
          <w:sz w:val="20"/>
          <w:szCs w:val="20"/>
        </w:rPr>
        <w:t xml:space="preserve">If a lender disapproves of any requested disbursement the seller or borrower, as appropriate, is notified in writing. </w:t>
      </w:r>
    </w:p>
    <w:p w:rsidR="00181097" w:rsidRPr="00792FCA" w:rsidRDefault="00181097" w:rsidP="0014197E">
      <w:pPr>
        <w:pStyle w:val="NormalWeb"/>
        <w:numPr>
          <w:ilvl w:val="0"/>
          <w:numId w:val="20"/>
        </w:numPr>
        <w:spacing w:before="0" w:beforeAutospacing="0" w:after="0" w:afterAutospacing="0"/>
        <w:rPr>
          <w:rFonts w:ascii="Arial" w:hAnsi="Arial" w:cs="Arial"/>
          <w:sz w:val="20"/>
          <w:szCs w:val="20"/>
        </w:rPr>
      </w:pPr>
      <w:r w:rsidRPr="00792FCA">
        <w:rPr>
          <w:rFonts w:ascii="Arial" w:hAnsi="Arial" w:cs="Arial"/>
          <w:sz w:val="20"/>
          <w:szCs w:val="20"/>
        </w:rPr>
        <w:t>Where directed or allowed by Lender, the Firm will accept written instructions:</w:t>
      </w:r>
    </w:p>
    <w:p w:rsidR="00181097" w:rsidRPr="00792FCA" w:rsidRDefault="00181097" w:rsidP="0014197E">
      <w:pPr>
        <w:pStyle w:val="NormalWeb"/>
        <w:numPr>
          <w:ilvl w:val="1"/>
          <w:numId w:val="20"/>
        </w:numPr>
        <w:spacing w:before="0" w:beforeAutospacing="0" w:after="0" w:afterAutospacing="0"/>
        <w:rPr>
          <w:rFonts w:ascii="Arial" w:hAnsi="Arial" w:cs="Arial"/>
          <w:sz w:val="20"/>
          <w:szCs w:val="20"/>
        </w:rPr>
      </w:pPr>
      <w:r w:rsidRPr="00792FCA">
        <w:rPr>
          <w:rFonts w:ascii="Arial" w:hAnsi="Arial" w:cs="Arial"/>
          <w:sz w:val="20"/>
          <w:szCs w:val="20"/>
        </w:rPr>
        <w:t xml:space="preserve">Deposit proceeds directly into a bank account on behalf of the principals. </w:t>
      </w:r>
    </w:p>
    <w:p w:rsidR="00181097" w:rsidRPr="00792FCA" w:rsidRDefault="00181097" w:rsidP="0014197E">
      <w:pPr>
        <w:pStyle w:val="NormalWeb"/>
        <w:numPr>
          <w:ilvl w:val="1"/>
          <w:numId w:val="20"/>
        </w:numPr>
        <w:spacing w:before="0" w:beforeAutospacing="0" w:after="0" w:afterAutospacing="0"/>
        <w:rPr>
          <w:rFonts w:ascii="Arial" w:hAnsi="Arial" w:cs="Arial"/>
          <w:sz w:val="20"/>
          <w:szCs w:val="20"/>
        </w:rPr>
      </w:pPr>
      <w:r w:rsidRPr="00792FCA">
        <w:rPr>
          <w:rFonts w:ascii="Arial" w:hAnsi="Arial" w:cs="Arial"/>
          <w:sz w:val="20"/>
          <w:szCs w:val="20"/>
        </w:rPr>
        <w:t xml:space="preserve">Cut separate checks or send a wire in the name of each individual seller or borrower. </w:t>
      </w:r>
    </w:p>
    <w:p w:rsidR="00181097" w:rsidRPr="00792FCA" w:rsidRDefault="00181097" w:rsidP="00181097">
      <w:pPr>
        <w:spacing w:after="0" w:line="240" w:lineRule="auto"/>
        <w:rPr>
          <w:rFonts w:ascii="Arial" w:hAnsi="Arial" w:cs="Arial"/>
          <w:b/>
          <w:sz w:val="20"/>
          <w:szCs w:val="20"/>
          <w:u w:val="single"/>
        </w:rPr>
      </w:pPr>
    </w:p>
    <w:p w:rsidR="00181097" w:rsidRPr="00792FCA" w:rsidRDefault="00181097" w:rsidP="00181097">
      <w:pPr>
        <w:spacing w:after="0" w:line="240" w:lineRule="auto"/>
        <w:rPr>
          <w:rFonts w:ascii="Arial" w:hAnsi="Arial" w:cs="Arial"/>
          <w:b/>
          <w:sz w:val="20"/>
          <w:szCs w:val="20"/>
          <w:u w:val="single"/>
        </w:rPr>
      </w:pPr>
      <w:r w:rsidRPr="00792FCA">
        <w:rPr>
          <w:rFonts w:ascii="Arial" w:hAnsi="Arial" w:cs="Arial"/>
          <w:b/>
          <w:sz w:val="20"/>
          <w:szCs w:val="20"/>
          <w:u w:val="single"/>
        </w:rPr>
        <w:t>Mortgage Payoffs:</w:t>
      </w:r>
    </w:p>
    <w:p w:rsidR="00181097" w:rsidRPr="00792FCA" w:rsidRDefault="00181097" w:rsidP="00181097">
      <w:pPr>
        <w:pStyle w:val="NoSpacing"/>
        <w:numPr>
          <w:ilvl w:val="0"/>
          <w:numId w:val="16"/>
        </w:numPr>
        <w:ind w:left="1080"/>
        <w:rPr>
          <w:rFonts w:ascii="Arial" w:hAnsi="Arial" w:cs="Arial"/>
          <w:szCs w:val="20"/>
        </w:rPr>
      </w:pPr>
      <w:r w:rsidRPr="00792FCA">
        <w:rPr>
          <w:rFonts w:ascii="Arial" w:hAnsi="Arial" w:cs="Arial"/>
          <w:szCs w:val="20"/>
        </w:rPr>
        <w:t>Payoff Statements should only be accepted directly from the lender being paid off – NEVER from an individual who delivers it to you.  (It could have been altered).</w:t>
      </w:r>
    </w:p>
    <w:p w:rsidR="00181097" w:rsidRPr="00792FCA" w:rsidRDefault="00181097" w:rsidP="00181097">
      <w:pPr>
        <w:pStyle w:val="NoSpacing"/>
        <w:numPr>
          <w:ilvl w:val="0"/>
          <w:numId w:val="16"/>
        </w:numPr>
        <w:ind w:left="1080"/>
        <w:rPr>
          <w:rFonts w:ascii="Arial" w:hAnsi="Arial" w:cs="Arial"/>
          <w:szCs w:val="20"/>
        </w:rPr>
      </w:pPr>
      <w:r w:rsidRPr="00792FCA">
        <w:rPr>
          <w:rFonts w:ascii="Arial" w:hAnsi="Arial" w:cs="Arial"/>
          <w:szCs w:val="20"/>
        </w:rPr>
        <w:t>Payoff Statements must be in writing and should reference loan number and property address in addition to borrower’s name.</w:t>
      </w:r>
    </w:p>
    <w:p w:rsidR="00181097" w:rsidRPr="00792FCA" w:rsidRDefault="00181097" w:rsidP="00181097">
      <w:pPr>
        <w:pStyle w:val="NoSpacing"/>
        <w:numPr>
          <w:ilvl w:val="0"/>
          <w:numId w:val="16"/>
        </w:numPr>
        <w:ind w:left="1080"/>
        <w:rPr>
          <w:rFonts w:ascii="Arial" w:eastAsia="Times New Roman" w:hAnsi="Arial" w:cs="Arial"/>
          <w:szCs w:val="20"/>
        </w:rPr>
      </w:pPr>
      <w:r w:rsidRPr="00792FCA">
        <w:rPr>
          <w:rFonts w:ascii="Arial" w:eastAsia="Times New Roman" w:hAnsi="Arial" w:cs="Arial"/>
          <w:szCs w:val="20"/>
        </w:rPr>
        <w:lastRenderedPageBreak/>
        <w:t>Watch home equity lines of credit and obtain a signed ‘closing letter’ from the borrower to the lender requesting that the credit line be closed.</w:t>
      </w:r>
    </w:p>
    <w:p w:rsidR="00181097" w:rsidRPr="00792FCA" w:rsidRDefault="00181097" w:rsidP="00181097">
      <w:pPr>
        <w:pStyle w:val="NoSpacing"/>
        <w:numPr>
          <w:ilvl w:val="0"/>
          <w:numId w:val="16"/>
        </w:numPr>
        <w:ind w:left="1080"/>
        <w:rPr>
          <w:rFonts w:ascii="Arial" w:eastAsia="Times New Roman" w:hAnsi="Arial" w:cs="Arial"/>
          <w:szCs w:val="20"/>
        </w:rPr>
      </w:pPr>
      <w:r w:rsidRPr="00792FCA">
        <w:rPr>
          <w:rFonts w:ascii="Arial" w:eastAsia="Times New Roman" w:hAnsi="Arial" w:cs="Arial"/>
          <w:szCs w:val="20"/>
        </w:rPr>
        <w:t>Put sufficient detail on the payoff check to identify the property and borrower.</w:t>
      </w:r>
    </w:p>
    <w:p w:rsidR="00181097" w:rsidRPr="00792FCA" w:rsidRDefault="00181097" w:rsidP="00181097">
      <w:pPr>
        <w:pStyle w:val="NoSpacing"/>
        <w:numPr>
          <w:ilvl w:val="0"/>
          <w:numId w:val="16"/>
        </w:numPr>
        <w:ind w:left="1080"/>
        <w:rPr>
          <w:rFonts w:ascii="Arial" w:eastAsia="Times New Roman" w:hAnsi="Arial" w:cs="Arial"/>
          <w:szCs w:val="20"/>
        </w:rPr>
      </w:pPr>
      <w:r w:rsidRPr="00792FCA">
        <w:rPr>
          <w:rFonts w:ascii="Arial" w:eastAsia="Times New Roman" w:hAnsi="Arial" w:cs="Arial"/>
          <w:szCs w:val="20"/>
        </w:rPr>
        <w:t>If property is in foreclosure, make certain you have accounted for any attorney’s fees and other court costs.</w:t>
      </w:r>
    </w:p>
    <w:p w:rsidR="00181097" w:rsidRPr="00792FCA" w:rsidRDefault="00181097" w:rsidP="00181097">
      <w:pPr>
        <w:pStyle w:val="NoSpacing"/>
        <w:numPr>
          <w:ilvl w:val="0"/>
          <w:numId w:val="16"/>
        </w:numPr>
        <w:ind w:left="1080"/>
        <w:rPr>
          <w:rFonts w:ascii="Arial" w:eastAsia="Times New Roman" w:hAnsi="Arial" w:cs="Arial"/>
          <w:szCs w:val="20"/>
        </w:rPr>
      </w:pPr>
      <w:r w:rsidRPr="00792FCA">
        <w:rPr>
          <w:rFonts w:ascii="Arial" w:eastAsia="Times New Roman" w:hAnsi="Arial" w:cs="Arial"/>
          <w:szCs w:val="20"/>
        </w:rPr>
        <w:t>Sellers are never to deliver their own payoff check.  Payoff checks must be delivered in a manner in which the date and time of receipt of the check can be documented.</w:t>
      </w:r>
    </w:p>
    <w:p w:rsidR="00181097" w:rsidRPr="00792FCA" w:rsidRDefault="00181097" w:rsidP="00181097">
      <w:pPr>
        <w:pStyle w:val="ListParagraph"/>
        <w:spacing w:before="0" w:after="0"/>
        <w:ind w:left="0"/>
        <w:rPr>
          <w:rFonts w:ascii="Arial" w:hAnsi="Arial" w:cs="Arial"/>
          <w:b/>
          <w:u w:val="single"/>
        </w:rPr>
      </w:pPr>
    </w:p>
    <w:p w:rsidR="00181097" w:rsidRPr="00792FCA" w:rsidRDefault="00181097" w:rsidP="00181097">
      <w:pPr>
        <w:pStyle w:val="ListParagraph"/>
        <w:spacing w:before="0" w:after="0"/>
        <w:ind w:left="0"/>
        <w:rPr>
          <w:rFonts w:ascii="Arial" w:hAnsi="Arial" w:cs="Arial"/>
          <w:b/>
          <w:u w:val="single"/>
        </w:rPr>
      </w:pPr>
      <w:r w:rsidRPr="00792FCA">
        <w:rPr>
          <w:rFonts w:ascii="Arial" w:hAnsi="Arial" w:cs="Arial"/>
          <w:b/>
          <w:u w:val="single"/>
        </w:rPr>
        <w:t>Escrowed Funds Disbursement:</w:t>
      </w:r>
    </w:p>
    <w:p w:rsidR="00181097" w:rsidRPr="00792FCA" w:rsidRDefault="00181097" w:rsidP="00181097">
      <w:pPr>
        <w:pStyle w:val="NormalWeb"/>
        <w:spacing w:before="0" w:beforeAutospacing="0" w:after="0" w:afterAutospacing="0"/>
        <w:rPr>
          <w:rFonts w:ascii="Arial" w:hAnsi="Arial" w:cs="Arial"/>
          <w:sz w:val="20"/>
          <w:szCs w:val="20"/>
        </w:rPr>
      </w:pPr>
      <w:r w:rsidRPr="00792FCA">
        <w:rPr>
          <w:rFonts w:ascii="Arial" w:hAnsi="Arial" w:cs="Arial"/>
          <w:sz w:val="20"/>
          <w:szCs w:val="20"/>
        </w:rPr>
        <w:t xml:space="preserve">Purpose:  </w:t>
      </w:r>
    </w:p>
    <w:p w:rsidR="00181097" w:rsidRPr="00792FCA" w:rsidRDefault="00181097" w:rsidP="00181097">
      <w:pPr>
        <w:pStyle w:val="NormalWeb"/>
        <w:spacing w:before="0" w:beforeAutospacing="0" w:after="0" w:afterAutospacing="0"/>
        <w:ind w:left="720"/>
        <w:rPr>
          <w:rFonts w:ascii="Arial" w:hAnsi="Arial" w:cs="Arial"/>
          <w:sz w:val="20"/>
          <w:szCs w:val="20"/>
        </w:rPr>
      </w:pPr>
      <w:r w:rsidRPr="00792FCA">
        <w:rPr>
          <w:rFonts w:ascii="Arial" w:hAnsi="Arial" w:cs="Arial"/>
          <w:sz w:val="20"/>
          <w:szCs w:val="20"/>
        </w:rPr>
        <w:t>a. Approvers’ and/or check signers’ responsibilities on external disbursements are to ensure the payment amounts are supported, proper vendors are paid, and disbursements have been properly authorized by the closing attorney and parties.</w:t>
      </w:r>
    </w:p>
    <w:p w:rsidR="00181097" w:rsidRPr="00792FCA" w:rsidRDefault="00181097" w:rsidP="00181097">
      <w:pPr>
        <w:pStyle w:val="NormalWeb"/>
        <w:spacing w:before="0" w:beforeAutospacing="0" w:after="0" w:afterAutospacing="0"/>
        <w:ind w:left="720"/>
        <w:rPr>
          <w:rFonts w:ascii="Arial" w:hAnsi="Arial" w:cs="Arial"/>
          <w:sz w:val="20"/>
          <w:szCs w:val="20"/>
        </w:rPr>
      </w:pPr>
      <w:r w:rsidRPr="00792FCA">
        <w:rPr>
          <w:rFonts w:ascii="Arial" w:hAnsi="Arial" w:cs="Arial"/>
          <w:sz w:val="20"/>
          <w:szCs w:val="20"/>
        </w:rPr>
        <w:t>b. Approvers’ and/or check signers’ responsibilities over the Firm’s fee income are to ensure that check/journals to recognize fees to the Firm are only processed after the closing is completed</w:t>
      </w:r>
    </w:p>
    <w:p w:rsidR="00181097" w:rsidRPr="00792FCA" w:rsidRDefault="00181097" w:rsidP="00181097">
      <w:pPr>
        <w:pStyle w:val="NormalWeb"/>
        <w:spacing w:before="0" w:beforeAutospacing="0" w:after="0" w:afterAutospacing="0"/>
        <w:rPr>
          <w:rFonts w:ascii="Arial" w:hAnsi="Arial" w:cs="Arial"/>
          <w:sz w:val="20"/>
          <w:szCs w:val="20"/>
        </w:rPr>
      </w:pPr>
      <w:r w:rsidRPr="00792FCA">
        <w:rPr>
          <w:rFonts w:ascii="Arial" w:hAnsi="Arial" w:cs="Arial"/>
          <w:sz w:val="20"/>
          <w:szCs w:val="20"/>
        </w:rPr>
        <w:t xml:space="preserve">Procedure:  </w:t>
      </w:r>
    </w:p>
    <w:p w:rsidR="00181097" w:rsidRPr="00792FCA" w:rsidRDefault="00181097" w:rsidP="00181097">
      <w:pPr>
        <w:pStyle w:val="NormalWeb"/>
        <w:spacing w:before="0" w:beforeAutospacing="0" w:after="0" w:afterAutospacing="0"/>
        <w:ind w:left="720"/>
        <w:rPr>
          <w:rFonts w:ascii="Arial" w:hAnsi="Arial" w:cs="Arial"/>
          <w:sz w:val="20"/>
          <w:szCs w:val="20"/>
        </w:rPr>
      </w:pPr>
      <w:r w:rsidRPr="00792FCA">
        <w:rPr>
          <w:rFonts w:ascii="Arial" w:hAnsi="Arial" w:cs="Arial"/>
          <w:sz w:val="20"/>
          <w:szCs w:val="20"/>
        </w:rPr>
        <w:t>All trust account disbursements (check and/or wire) require two approvers. Evidence of the two approvals is required on the check/wire request and the check disbursement register for every escrow.</w:t>
      </w:r>
    </w:p>
    <w:p w:rsidR="00181097" w:rsidRPr="00792FCA" w:rsidRDefault="00181097" w:rsidP="00181097">
      <w:pPr>
        <w:spacing w:after="0" w:line="240" w:lineRule="auto"/>
        <w:rPr>
          <w:rFonts w:ascii="Arial" w:hAnsi="Arial" w:cs="Arial"/>
          <w:b/>
          <w:sz w:val="20"/>
          <w:szCs w:val="20"/>
          <w:u w:val="single"/>
        </w:rPr>
      </w:pPr>
    </w:p>
    <w:p w:rsidR="00181097" w:rsidRPr="00792FCA" w:rsidRDefault="00181097" w:rsidP="00181097">
      <w:pPr>
        <w:spacing w:after="0" w:line="240" w:lineRule="auto"/>
        <w:rPr>
          <w:rFonts w:ascii="Arial" w:hAnsi="Arial" w:cs="Arial"/>
          <w:b/>
          <w:sz w:val="20"/>
          <w:szCs w:val="20"/>
          <w:u w:val="single"/>
        </w:rPr>
      </w:pPr>
      <w:r w:rsidRPr="00792FCA">
        <w:rPr>
          <w:rFonts w:ascii="Arial" w:hAnsi="Arial" w:cs="Arial"/>
          <w:b/>
          <w:sz w:val="20"/>
          <w:szCs w:val="20"/>
          <w:u w:val="single"/>
        </w:rPr>
        <w:t>Cancelled Checks and Stop Payments:</w:t>
      </w:r>
    </w:p>
    <w:tbl>
      <w:tblPr>
        <w:tblW w:w="10501" w:type="dxa"/>
        <w:tblCellSpacing w:w="15" w:type="dxa"/>
        <w:tblCellMar>
          <w:top w:w="15" w:type="dxa"/>
          <w:left w:w="15" w:type="dxa"/>
          <w:bottom w:w="15" w:type="dxa"/>
          <w:right w:w="15" w:type="dxa"/>
        </w:tblCellMar>
        <w:tblLook w:val="04A0" w:firstRow="1" w:lastRow="0" w:firstColumn="1" w:lastColumn="0" w:noHBand="0" w:noVBand="1"/>
      </w:tblPr>
      <w:tblGrid>
        <w:gridCol w:w="10420"/>
        <w:gridCol w:w="81"/>
      </w:tblGrid>
      <w:tr w:rsidR="00181097" w:rsidRPr="00792FCA" w:rsidTr="00181097">
        <w:trPr>
          <w:tblCellSpacing w:w="15" w:type="dxa"/>
        </w:trPr>
        <w:tc>
          <w:tcPr>
            <w:tcW w:w="0" w:type="auto"/>
            <w:vAlign w:val="center"/>
            <w:hideMark/>
          </w:tcPr>
          <w:p w:rsidR="00181097" w:rsidRPr="00792FCA" w:rsidRDefault="00181097" w:rsidP="00181097">
            <w:pPr>
              <w:pStyle w:val="NormalWeb"/>
              <w:spacing w:before="0" w:beforeAutospacing="0" w:after="0" w:afterAutospacing="0"/>
              <w:rPr>
                <w:rFonts w:ascii="Arial" w:hAnsi="Arial" w:cs="Arial"/>
                <w:sz w:val="20"/>
                <w:szCs w:val="20"/>
              </w:rPr>
            </w:pPr>
            <w:r w:rsidRPr="00792FCA">
              <w:rPr>
                <w:rFonts w:ascii="Arial" w:hAnsi="Arial" w:cs="Arial"/>
                <w:sz w:val="20"/>
                <w:szCs w:val="20"/>
              </w:rPr>
              <w:t>Purpose:</w:t>
            </w:r>
          </w:p>
          <w:p w:rsidR="00181097" w:rsidRPr="00792FCA" w:rsidRDefault="00181097" w:rsidP="00181097">
            <w:pPr>
              <w:spacing w:after="0" w:line="240" w:lineRule="auto"/>
              <w:ind w:left="720"/>
              <w:rPr>
                <w:rFonts w:ascii="Arial" w:eastAsia="Times New Roman" w:hAnsi="Arial" w:cs="Arial"/>
                <w:sz w:val="20"/>
                <w:szCs w:val="20"/>
              </w:rPr>
            </w:pPr>
            <w:r w:rsidRPr="00792FCA">
              <w:rPr>
                <w:rFonts w:ascii="Arial" w:eastAsia="Times New Roman" w:hAnsi="Arial" w:cs="Arial"/>
                <w:sz w:val="20"/>
                <w:szCs w:val="20"/>
              </w:rPr>
              <w:t xml:space="preserve">Check fraud and wire fraud are expensive issues.  The ‘holder in due course’ doctrine gives legal protections to innocent third-party recipients of checks and wires that are presented to them and not patently counterfeit.  </w:t>
            </w:r>
          </w:p>
          <w:p w:rsidR="00181097" w:rsidRPr="00792FCA" w:rsidRDefault="00181097" w:rsidP="00181097">
            <w:pPr>
              <w:spacing w:after="0" w:line="240" w:lineRule="auto"/>
              <w:ind w:left="720"/>
              <w:rPr>
                <w:rFonts w:ascii="Arial" w:eastAsia="Times New Roman" w:hAnsi="Arial" w:cs="Arial"/>
                <w:sz w:val="20"/>
                <w:szCs w:val="20"/>
              </w:rPr>
            </w:pPr>
          </w:p>
          <w:p w:rsidR="00181097" w:rsidRPr="00792FCA" w:rsidRDefault="00181097" w:rsidP="00181097">
            <w:pPr>
              <w:spacing w:after="0" w:line="240" w:lineRule="auto"/>
              <w:ind w:left="720"/>
              <w:rPr>
                <w:rFonts w:ascii="Arial" w:eastAsia="Times New Roman" w:hAnsi="Arial" w:cs="Arial"/>
                <w:b/>
                <w:bCs/>
                <w:color w:val="000000"/>
                <w:sz w:val="20"/>
                <w:szCs w:val="20"/>
              </w:rPr>
            </w:pPr>
            <w:r w:rsidRPr="00792FCA">
              <w:rPr>
                <w:rFonts w:ascii="Arial" w:eastAsia="Times New Roman" w:hAnsi="Arial" w:cs="Arial"/>
                <w:sz w:val="20"/>
                <w:szCs w:val="20"/>
              </w:rPr>
              <w:t>A Cashier or Teller check in the hands of holder without knowledge of a defense must be honored by the financial institution on which it is drawn because it is the obligation of the financial institution not the closing attorney. Failure to observe this requirement may result in the closing attorney and/or title company being personally liable if the consumer or client suffers a loss on the transaction when the lost, stolen or destroyed item is subsequently presented and paid. </w:t>
            </w:r>
          </w:p>
          <w:p w:rsidR="00181097" w:rsidRPr="00792FCA" w:rsidRDefault="00181097" w:rsidP="00181097">
            <w:pPr>
              <w:pStyle w:val="NormalWeb"/>
              <w:spacing w:before="0" w:beforeAutospacing="0" w:after="0" w:afterAutospacing="0"/>
              <w:rPr>
                <w:rFonts w:ascii="Arial" w:hAnsi="Arial" w:cs="Arial"/>
                <w:sz w:val="20"/>
                <w:szCs w:val="20"/>
              </w:rPr>
            </w:pPr>
            <w:r w:rsidRPr="00792FCA">
              <w:rPr>
                <w:rFonts w:ascii="Arial" w:hAnsi="Arial" w:cs="Arial"/>
                <w:sz w:val="20"/>
                <w:szCs w:val="20"/>
              </w:rPr>
              <w:t xml:space="preserve">Procedure: </w:t>
            </w:r>
          </w:p>
          <w:p w:rsidR="00181097" w:rsidRPr="00792FCA" w:rsidRDefault="00181097" w:rsidP="00181097">
            <w:pPr>
              <w:spacing w:after="0" w:line="240" w:lineRule="auto"/>
              <w:ind w:left="450"/>
              <w:rPr>
                <w:rFonts w:ascii="Arial" w:eastAsia="Times New Roman" w:hAnsi="Arial" w:cs="Arial"/>
                <w:b/>
                <w:bCs/>
                <w:color w:val="000000"/>
                <w:sz w:val="20"/>
                <w:szCs w:val="20"/>
              </w:rPr>
            </w:pPr>
            <w:r w:rsidRPr="00792FCA">
              <w:rPr>
                <w:rFonts w:ascii="Arial" w:eastAsia="Times New Roman" w:hAnsi="Arial" w:cs="Arial"/>
                <w:b/>
                <w:bCs/>
                <w:color w:val="000000"/>
                <w:sz w:val="20"/>
                <w:szCs w:val="20"/>
              </w:rPr>
              <w:t>Cashier's or Teller Checks</w:t>
            </w:r>
          </w:p>
        </w:tc>
        <w:tc>
          <w:tcPr>
            <w:tcW w:w="0" w:type="auto"/>
            <w:vAlign w:val="center"/>
            <w:hideMark/>
          </w:tcPr>
          <w:p w:rsidR="00181097" w:rsidRPr="00792FCA" w:rsidRDefault="00181097" w:rsidP="00C62772">
            <w:pPr>
              <w:spacing w:after="0" w:line="240" w:lineRule="auto"/>
              <w:ind w:left="1170"/>
              <w:rPr>
                <w:rFonts w:ascii="Arial" w:eastAsia="Times New Roman" w:hAnsi="Arial" w:cs="Arial"/>
                <w:sz w:val="20"/>
                <w:szCs w:val="20"/>
              </w:rPr>
            </w:pPr>
          </w:p>
        </w:tc>
      </w:tr>
    </w:tbl>
    <w:p w:rsidR="00181097" w:rsidRPr="00792FCA" w:rsidRDefault="00181097" w:rsidP="00181097">
      <w:pPr>
        <w:pStyle w:val="ListParagraph"/>
        <w:numPr>
          <w:ilvl w:val="0"/>
          <w:numId w:val="11"/>
        </w:numPr>
        <w:spacing w:before="0" w:after="0"/>
        <w:ind w:left="1170"/>
        <w:rPr>
          <w:rFonts w:ascii="Arial" w:hAnsi="Arial" w:cs="Arial"/>
          <w:vanish/>
        </w:rPr>
      </w:pPr>
    </w:p>
    <w:tbl>
      <w:tblPr>
        <w:tblW w:w="5165" w:type="pct"/>
        <w:tblCellSpacing w:w="15" w:type="dxa"/>
        <w:tblCellMar>
          <w:top w:w="15" w:type="dxa"/>
          <w:left w:w="15" w:type="dxa"/>
          <w:bottom w:w="15" w:type="dxa"/>
          <w:right w:w="15" w:type="dxa"/>
        </w:tblCellMar>
        <w:tblLook w:val="04A0" w:firstRow="1" w:lastRow="0" w:firstColumn="1" w:lastColumn="0" w:noHBand="0" w:noVBand="1"/>
      </w:tblPr>
      <w:tblGrid>
        <w:gridCol w:w="11204"/>
        <w:gridCol w:w="45"/>
      </w:tblGrid>
      <w:tr w:rsidR="00181097" w:rsidRPr="00792FCA" w:rsidTr="000E2AD7">
        <w:trPr>
          <w:gridAfter w:val="1"/>
          <w:tblCellSpacing w:w="15" w:type="dxa"/>
        </w:trPr>
        <w:tc>
          <w:tcPr>
            <w:tcW w:w="0" w:type="auto"/>
            <w:vAlign w:val="center"/>
            <w:hideMark/>
          </w:tcPr>
          <w:p w:rsidR="00181097" w:rsidRPr="00792FCA" w:rsidRDefault="00181097" w:rsidP="00181097">
            <w:pPr>
              <w:pStyle w:val="ListParagraph"/>
              <w:numPr>
                <w:ilvl w:val="0"/>
                <w:numId w:val="19"/>
              </w:numPr>
              <w:spacing w:after="0"/>
              <w:rPr>
                <w:rFonts w:ascii="Arial" w:hAnsi="Arial" w:cs="Arial"/>
              </w:rPr>
            </w:pPr>
            <w:r w:rsidRPr="00792FCA">
              <w:rPr>
                <w:rFonts w:ascii="Arial" w:hAnsi="Arial" w:cs="Arial"/>
              </w:rPr>
              <w:t>Payment on a Cashier’s or Teller check issued by the Company may not be stopped without :</w:t>
            </w:r>
          </w:p>
          <w:p w:rsidR="00181097" w:rsidRPr="00792FCA" w:rsidRDefault="00181097" w:rsidP="00181097">
            <w:pPr>
              <w:pStyle w:val="ListParagraph"/>
              <w:numPr>
                <w:ilvl w:val="1"/>
                <w:numId w:val="19"/>
              </w:numPr>
              <w:spacing w:after="0"/>
              <w:rPr>
                <w:rFonts w:ascii="Arial" w:hAnsi="Arial" w:cs="Arial"/>
              </w:rPr>
            </w:pPr>
            <w:r w:rsidRPr="00792FCA">
              <w:rPr>
                <w:rFonts w:ascii="Arial" w:hAnsi="Arial" w:cs="Arial"/>
              </w:rPr>
              <w:t xml:space="preserve">Obtaining approval from the closing attorney before directing that a replacement item is issued. </w:t>
            </w:r>
          </w:p>
          <w:p w:rsidR="00181097" w:rsidRPr="00792FCA" w:rsidRDefault="00181097" w:rsidP="00181097">
            <w:pPr>
              <w:pStyle w:val="ListParagraph"/>
              <w:numPr>
                <w:ilvl w:val="1"/>
                <w:numId w:val="19"/>
              </w:numPr>
              <w:spacing w:after="0"/>
              <w:rPr>
                <w:rFonts w:ascii="Arial" w:hAnsi="Arial" w:cs="Arial"/>
              </w:rPr>
            </w:pPr>
            <w:r w:rsidRPr="00792FCA">
              <w:rPr>
                <w:rFonts w:ascii="Arial" w:hAnsi="Arial" w:cs="Arial"/>
              </w:rPr>
              <w:t>Obtaining an affidavit concerning the lost, stolen or destroyed item from the person whose obligation is paid by the Cashier’s or Teller.</w:t>
            </w:r>
          </w:p>
          <w:p w:rsidR="00181097" w:rsidRPr="00792FCA" w:rsidRDefault="00181097" w:rsidP="00181097">
            <w:pPr>
              <w:pStyle w:val="ListParagraph"/>
              <w:numPr>
                <w:ilvl w:val="1"/>
                <w:numId w:val="19"/>
              </w:numPr>
              <w:spacing w:after="0"/>
              <w:rPr>
                <w:rFonts w:ascii="Arial" w:hAnsi="Arial" w:cs="Arial"/>
              </w:rPr>
            </w:pPr>
            <w:r w:rsidRPr="00792FCA">
              <w:rPr>
                <w:rFonts w:ascii="Arial" w:hAnsi="Arial" w:cs="Arial"/>
              </w:rPr>
              <w:t xml:space="preserve">Satisfying any requirement by the bank upon which the check is drawn to obtain a bond or other form of security for the amount of the </w:t>
            </w:r>
            <w:proofErr w:type="gramStart"/>
            <w:r w:rsidRPr="00792FCA">
              <w:rPr>
                <w:rFonts w:ascii="Arial" w:hAnsi="Arial" w:cs="Arial"/>
              </w:rPr>
              <w:t>check ,</w:t>
            </w:r>
            <w:proofErr w:type="gramEnd"/>
            <w:r w:rsidRPr="00792FCA">
              <w:rPr>
                <w:rFonts w:ascii="Arial" w:hAnsi="Arial" w:cs="Arial"/>
              </w:rPr>
              <w:t xml:space="preserve"> if the bank is going to reissue the check before a 90 day period has elapsed.</w:t>
            </w:r>
          </w:p>
        </w:tc>
      </w:tr>
      <w:tr w:rsidR="00181097" w:rsidRPr="00792FCA" w:rsidTr="000E2AD7">
        <w:trPr>
          <w:tblCellSpacing w:w="15" w:type="dxa"/>
        </w:trPr>
        <w:tc>
          <w:tcPr>
            <w:tcW w:w="0" w:type="auto"/>
            <w:gridSpan w:val="2"/>
            <w:vAlign w:val="center"/>
            <w:hideMark/>
          </w:tcPr>
          <w:p w:rsidR="00181097" w:rsidRPr="00792FCA" w:rsidRDefault="00181097" w:rsidP="00610D71">
            <w:pPr>
              <w:spacing w:after="0" w:line="240" w:lineRule="auto"/>
              <w:ind w:left="720"/>
              <w:rPr>
                <w:rFonts w:ascii="Arial" w:eastAsia="Times New Roman" w:hAnsi="Arial" w:cs="Arial"/>
                <w:b/>
                <w:bCs/>
                <w:color w:val="000000"/>
                <w:sz w:val="20"/>
                <w:szCs w:val="20"/>
              </w:rPr>
            </w:pPr>
            <w:r w:rsidRPr="00792FCA">
              <w:rPr>
                <w:rFonts w:ascii="Arial" w:eastAsia="Times New Roman" w:hAnsi="Arial" w:cs="Arial"/>
                <w:b/>
                <w:bCs/>
                <w:color w:val="000000"/>
                <w:sz w:val="20"/>
                <w:szCs w:val="20"/>
              </w:rPr>
              <w:t>Trust Account Checks</w:t>
            </w:r>
          </w:p>
        </w:tc>
      </w:tr>
      <w:tr w:rsidR="00181097" w:rsidRPr="00792FCA" w:rsidTr="000E2AD7">
        <w:trPr>
          <w:tblCellSpacing w:w="15" w:type="dxa"/>
        </w:trPr>
        <w:tc>
          <w:tcPr>
            <w:tcW w:w="0" w:type="auto"/>
            <w:gridSpan w:val="2"/>
            <w:vAlign w:val="center"/>
          </w:tcPr>
          <w:p w:rsidR="00181097" w:rsidRPr="00792FCA" w:rsidRDefault="00181097" w:rsidP="00181097">
            <w:pPr>
              <w:pStyle w:val="ListParagraph"/>
              <w:numPr>
                <w:ilvl w:val="0"/>
                <w:numId w:val="18"/>
              </w:numPr>
              <w:spacing w:after="0"/>
              <w:rPr>
                <w:rFonts w:ascii="Arial" w:hAnsi="Arial" w:cs="Arial"/>
              </w:rPr>
            </w:pPr>
            <w:r w:rsidRPr="00792FCA">
              <w:rPr>
                <w:rFonts w:ascii="Arial" w:hAnsi="Arial" w:cs="Arial"/>
              </w:rPr>
              <w:t xml:space="preserve">A check that has been issued, processed in the accounting records, but subsequently lost, stolen or returned to the attorney is “voided”. </w:t>
            </w:r>
          </w:p>
          <w:p w:rsidR="00181097" w:rsidRPr="00792FCA" w:rsidRDefault="00181097" w:rsidP="00181097">
            <w:pPr>
              <w:pStyle w:val="ListParagraph"/>
              <w:numPr>
                <w:ilvl w:val="0"/>
                <w:numId w:val="18"/>
              </w:numPr>
              <w:spacing w:after="0"/>
              <w:rPr>
                <w:rFonts w:ascii="Arial" w:hAnsi="Arial" w:cs="Arial"/>
              </w:rPr>
            </w:pPr>
            <w:r w:rsidRPr="00792FCA">
              <w:rPr>
                <w:rFonts w:ascii="Arial" w:hAnsi="Arial" w:cs="Arial"/>
              </w:rPr>
              <w:t>If the original check has been returned, mark it “Void”, remove the signature portion of the check and forward it to accounting for adjustment to the appropriate records. Voided checks, if found, must be retained.</w:t>
            </w:r>
          </w:p>
          <w:p w:rsidR="00181097" w:rsidRPr="00792FCA" w:rsidRDefault="00181097" w:rsidP="00181097">
            <w:pPr>
              <w:pStyle w:val="ListParagraph"/>
              <w:numPr>
                <w:ilvl w:val="0"/>
                <w:numId w:val="18"/>
              </w:numPr>
              <w:spacing w:after="0"/>
              <w:rPr>
                <w:rFonts w:ascii="Arial" w:hAnsi="Arial" w:cs="Arial"/>
              </w:rPr>
            </w:pPr>
            <w:r w:rsidRPr="00792FCA">
              <w:rPr>
                <w:rFonts w:ascii="Arial" w:hAnsi="Arial" w:cs="Arial"/>
              </w:rPr>
              <w:t xml:space="preserve">Unless a check has been lost or stolen, do not stop payment without consulting the closing attorney. </w:t>
            </w:r>
          </w:p>
          <w:p w:rsidR="00181097" w:rsidRPr="00792FCA" w:rsidRDefault="00181097" w:rsidP="00181097">
            <w:pPr>
              <w:pStyle w:val="ListParagraph"/>
              <w:numPr>
                <w:ilvl w:val="0"/>
                <w:numId w:val="18"/>
              </w:numPr>
              <w:spacing w:after="0"/>
              <w:rPr>
                <w:rFonts w:ascii="Arial" w:hAnsi="Arial" w:cs="Arial"/>
              </w:rPr>
            </w:pPr>
            <w:r w:rsidRPr="00792FCA">
              <w:rPr>
                <w:rFonts w:ascii="Arial" w:hAnsi="Arial" w:cs="Arial"/>
              </w:rPr>
              <w:t xml:space="preserve">If the check has been lost or stolen, first determine if the check has cleared the bank.  The accounting department should contact the bank to verify that the check has not cleared the bank. </w:t>
            </w:r>
          </w:p>
          <w:p w:rsidR="00181097" w:rsidRPr="00792FCA" w:rsidRDefault="00181097" w:rsidP="00181097">
            <w:pPr>
              <w:pStyle w:val="ListParagraph"/>
              <w:numPr>
                <w:ilvl w:val="0"/>
                <w:numId w:val="18"/>
              </w:numPr>
              <w:spacing w:after="0"/>
              <w:rPr>
                <w:rFonts w:ascii="Arial" w:hAnsi="Arial" w:cs="Arial"/>
              </w:rPr>
            </w:pPr>
            <w:r w:rsidRPr="00792FCA">
              <w:rPr>
                <w:rFonts w:ascii="Arial" w:hAnsi="Arial" w:cs="Arial"/>
              </w:rPr>
              <w:t xml:space="preserve">If it has not cleared, the bank should be advised both orally and in writing to place a stop payment on the check. </w:t>
            </w:r>
          </w:p>
          <w:p w:rsidR="00181097" w:rsidRPr="00792FCA" w:rsidRDefault="00181097" w:rsidP="00181097">
            <w:pPr>
              <w:pStyle w:val="ListParagraph"/>
              <w:numPr>
                <w:ilvl w:val="0"/>
                <w:numId w:val="18"/>
              </w:numPr>
              <w:spacing w:after="0"/>
              <w:rPr>
                <w:rFonts w:ascii="Arial" w:hAnsi="Arial" w:cs="Arial"/>
              </w:rPr>
            </w:pPr>
            <w:r w:rsidRPr="00792FCA">
              <w:rPr>
                <w:rFonts w:ascii="Arial" w:hAnsi="Arial" w:cs="Arial"/>
              </w:rPr>
              <w:t xml:space="preserve">No check should be reissued until it has been determined that it has not cleared the bank and you have received authorization from the accounting department. </w:t>
            </w:r>
          </w:p>
          <w:p w:rsidR="00181097" w:rsidRPr="00792FCA" w:rsidRDefault="00181097" w:rsidP="00181097">
            <w:pPr>
              <w:pStyle w:val="ListParagraph"/>
              <w:numPr>
                <w:ilvl w:val="0"/>
                <w:numId w:val="18"/>
              </w:numPr>
              <w:spacing w:after="0"/>
              <w:rPr>
                <w:rFonts w:ascii="Arial" w:hAnsi="Arial" w:cs="Arial"/>
              </w:rPr>
            </w:pPr>
            <w:r w:rsidRPr="00792FCA">
              <w:rPr>
                <w:rFonts w:ascii="Arial" w:hAnsi="Arial" w:cs="Arial"/>
              </w:rPr>
              <w:t>If the original check is subsequently found, it should be forwarded to the accounting department with a note across the face of the original check stating that a stop payment was issued on this check and indicating the date of the stop payment.</w:t>
            </w:r>
          </w:p>
          <w:p w:rsidR="00181097" w:rsidRPr="00792FCA" w:rsidRDefault="00181097" w:rsidP="00C62772">
            <w:pPr>
              <w:spacing w:after="0" w:line="240" w:lineRule="auto"/>
              <w:ind w:left="1170"/>
              <w:rPr>
                <w:rFonts w:ascii="Arial" w:eastAsia="Times New Roman" w:hAnsi="Arial" w:cs="Arial"/>
                <w:b/>
                <w:bCs/>
                <w:color w:val="000000"/>
                <w:sz w:val="20"/>
                <w:szCs w:val="20"/>
              </w:rPr>
            </w:pPr>
          </w:p>
        </w:tc>
      </w:tr>
    </w:tbl>
    <w:p w:rsidR="00181097" w:rsidRPr="00792FCA" w:rsidRDefault="00181097" w:rsidP="00181097">
      <w:pPr>
        <w:pStyle w:val="ListParagraph"/>
        <w:numPr>
          <w:ilvl w:val="0"/>
          <w:numId w:val="11"/>
        </w:numPr>
        <w:spacing w:before="0" w:after="0"/>
        <w:ind w:left="3600"/>
        <w:rPr>
          <w:rFonts w:ascii="Arial" w:hAnsi="Arial" w:cs="Arial"/>
          <w:vanish/>
        </w:rPr>
      </w:pPr>
    </w:p>
    <w:p w:rsidR="00181097" w:rsidRPr="00792FCA" w:rsidRDefault="00181097" w:rsidP="00181097">
      <w:pPr>
        <w:spacing w:after="0" w:line="240" w:lineRule="auto"/>
        <w:rPr>
          <w:rFonts w:ascii="Arial" w:hAnsi="Arial" w:cs="Arial"/>
          <w:b/>
          <w:sz w:val="20"/>
          <w:szCs w:val="20"/>
          <w:u w:val="single"/>
        </w:rPr>
      </w:pPr>
      <w:r w:rsidRPr="00792FCA">
        <w:rPr>
          <w:rFonts w:ascii="Arial" w:hAnsi="Arial" w:cs="Arial"/>
          <w:b/>
          <w:sz w:val="20"/>
          <w:szCs w:val="20"/>
          <w:u w:val="single"/>
        </w:rPr>
        <w:t xml:space="preserve">Disbursement or Receipt of Funds </w:t>
      </w:r>
      <w:proofErr w:type="gramStart"/>
      <w:r w:rsidRPr="00792FCA">
        <w:rPr>
          <w:rFonts w:ascii="Arial" w:hAnsi="Arial" w:cs="Arial"/>
          <w:b/>
          <w:sz w:val="20"/>
          <w:szCs w:val="20"/>
          <w:u w:val="single"/>
        </w:rPr>
        <w:t>By</w:t>
      </w:r>
      <w:proofErr w:type="gramEnd"/>
      <w:r w:rsidRPr="00792FCA">
        <w:rPr>
          <w:rFonts w:ascii="Arial" w:hAnsi="Arial" w:cs="Arial"/>
          <w:b/>
          <w:sz w:val="20"/>
          <w:szCs w:val="20"/>
          <w:u w:val="single"/>
        </w:rPr>
        <w:t xml:space="preserve"> Wire:</w:t>
      </w:r>
    </w:p>
    <w:p w:rsidR="00181097" w:rsidRPr="00792FCA" w:rsidRDefault="00181097" w:rsidP="00610D71">
      <w:pPr>
        <w:pStyle w:val="body"/>
        <w:spacing w:before="0" w:beforeAutospacing="0" w:after="0" w:afterAutospacing="0"/>
        <w:rPr>
          <w:rFonts w:ascii="Arial" w:hAnsi="Arial" w:cs="Arial"/>
          <w:sz w:val="20"/>
          <w:szCs w:val="20"/>
        </w:rPr>
      </w:pPr>
      <w:r w:rsidRPr="00792FCA">
        <w:rPr>
          <w:rFonts w:ascii="Arial" w:hAnsi="Arial" w:cs="Arial"/>
          <w:sz w:val="20"/>
          <w:szCs w:val="20"/>
        </w:rPr>
        <w:t>Purpose:</w:t>
      </w:r>
    </w:p>
    <w:p w:rsidR="00181097" w:rsidRPr="00792FCA" w:rsidRDefault="00181097" w:rsidP="00610D71">
      <w:pPr>
        <w:pStyle w:val="body"/>
        <w:spacing w:before="0" w:beforeAutospacing="0" w:after="0" w:afterAutospacing="0"/>
        <w:ind w:left="450"/>
        <w:rPr>
          <w:rFonts w:ascii="Arial" w:hAnsi="Arial" w:cs="Arial"/>
          <w:sz w:val="20"/>
          <w:szCs w:val="20"/>
        </w:rPr>
      </w:pPr>
      <w:r w:rsidRPr="00792FCA">
        <w:rPr>
          <w:rFonts w:ascii="Arial" w:hAnsi="Arial" w:cs="Arial"/>
          <w:sz w:val="20"/>
          <w:szCs w:val="20"/>
        </w:rPr>
        <w:t xml:space="preserve">Wire transfer transactions usually involve large dollar amounts that must be processed quickly. There is also finality to a wire transfer transaction </w:t>
      </w:r>
      <w:r w:rsidRPr="00792FCA">
        <w:rPr>
          <w:rFonts w:ascii="Arial" w:hAnsi="Arial" w:cs="Arial"/>
          <w:sz w:val="20"/>
          <w:szCs w:val="20"/>
          <w:u w:val="single"/>
        </w:rPr>
        <w:t>at the time of execution</w:t>
      </w:r>
      <w:r w:rsidRPr="00792FCA">
        <w:rPr>
          <w:rFonts w:ascii="Arial" w:hAnsi="Arial" w:cs="Arial"/>
          <w:sz w:val="20"/>
          <w:szCs w:val="20"/>
        </w:rPr>
        <w:t xml:space="preserve">. Generally, wire transfers are not subject to a stop payment, recall, cancellation or adjustment; once a wire request has been executed the funds immediately become the property of the transfer recipient. Because of these concerns and to minimize the risk of loss from errors or fraud, </w:t>
      </w:r>
      <w:r w:rsidRPr="00792FCA">
        <w:rPr>
          <w:rFonts w:ascii="Arial" w:hAnsi="Arial" w:cs="Arial"/>
          <w:sz w:val="20"/>
          <w:szCs w:val="20"/>
        </w:rPr>
        <w:lastRenderedPageBreak/>
        <w:t>wire transfer authority is to be centralized within a limited number of management, accounting or administration employees.</w:t>
      </w:r>
    </w:p>
    <w:p w:rsidR="00181097" w:rsidRPr="00792FCA" w:rsidRDefault="00181097" w:rsidP="00610D71">
      <w:pPr>
        <w:pStyle w:val="body"/>
        <w:spacing w:before="0" w:beforeAutospacing="0" w:after="0" w:afterAutospacing="0"/>
        <w:rPr>
          <w:rFonts w:ascii="Arial" w:hAnsi="Arial" w:cs="Arial"/>
          <w:sz w:val="20"/>
          <w:szCs w:val="20"/>
        </w:rPr>
      </w:pPr>
      <w:r w:rsidRPr="00792FCA">
        <w:rPr>
          <w:rFonts w:ascii="Arial" w:hAnsi="Arial" w:cs="Arial"/>
          <w:sz w:val="20"/>
          <w:szCs w:val="20"/>
        </w:rPr>
        <w:t>Procedure:</w:t>
      </w:r>
    </w:p>
    <w:p w:rsidR="00181097" w:rsidRPr="00792FCA" w:rsidRDefault="00181097" w:rsidP="00610D71">
      <w:pPr>
        <w:pStyle w:val="body"/>
        <w:numPr>
          <w:ilvl w:val="0"/>
          <w:numId w:val="15"/>
        </w:numPr>
        <w:spacing w:before="0" w:beforeAutospacing="0" w:after="0" w:afterAutospacing="0"/>
        <w:ind w:left="900"/>
        <w:rPr>
          <w:rFonts w:ascii="Arial" w:hAnsi="Arial" w:cs="Arial"/>
          <w:sz w:val="20"/>
          <w:szCs w:val="20"/>
        </w:rPr>
      </w:pPr>
      <w:r w:rsidRPr="00792FCA">
        <w:rPr>
          <w:rFonts w:ascii="Arial" w:hAnsi="Arial" w:cs="Arial"/>
          <w:sz w:val="20"/>
          <w:szCs w:val="20"/>
          <w:u w:val="single"/>
        </w:rPr>
        <w:t>No</w:t>
      </w:r>
      <w:r w:rsidRPr="00792FCA">
        <w:rPr>
          <w:rFonts w:ascii="Arial" w:hAnsi="Arial" w:cs="Arial"/>
          <w:sz w:val="20"/>
          <w:szCs w:val="20"/>
        </w:rPr>
        <w:t xml:space="preserve"> employee shall be unilaterally authorized to issue or accept a wire transfer. </w:t>
      </w:r>
    </w:p>
    <w:p w:rsidR="00181097" w:rsidRPr="00792FCA" w:rsidRDefault="00181097" w:rsidP="00610D71">
      <w:pPr>
        <w:pStyle w:val="body"/>
        <w:numPr>
          <w:ilvl w:val="0"/>
          <w:numId w:val="15"/>
        </w:numPr>
        <w:spacing w:before="0" w:beforeAutospacing="0" w:after="0" w:afterAutospacing="0"/>
        <w:ind w:left="900"/>
        <w:rPr>
          <w:rFonts w:ascii="Arial" w:hAnsi="Arial" w:cs="Arial"/>
          <w:sz w:val="20"/>
          <w:szCs w:val="20"/>
        </w:rPr>
      </w:pPr>
      <w:r w:rsidRPr="00792FCA">
        <w:rPr>
          <w:rFonts w:ascii="Arial" w:hAnsi="Arial" w:cs="Arial"/>
          <w:sz w:val="20"/>
          <w:szCs w:val="20"/>
        </w:rPr>
        <w:t xml:space="preserve">Customers are to communicate all wire transfer requests in writing and each closing attorney will then communicate the wire transfer information to one of the authorized employees in writing </w:t>
      </w:r>
      <w:r w:rsidRPr="00792FCA">
        <w:rPr>
          <w:rFonts w:ascii="Arial" w:hAnsi="Arial" w:cs="Arial"/>
          <w:i/>
          <w:iCs/>
          <w:sz w:val="20"/>
          <w:szCs w:val="20"/>
        </w:rPr>
        <w:t>or by fax</w:t>
      </w:r>
      <w:r w:rsidRPr="00792FCA">
        <w:rPr>
          <w:rFonts w:ascii="Arial" w:hAnsi="Arial" w:cs="Arial"/>
          <w:sz w:val="20"/>
          <w:szCs w:val="20"/>
        </w:rPr>
        <w:t xml:space="preserve"> and confirmed in writing. </w:t>
      </w:r>
    </w:p>
    <w:p w:rsidR="00181097" w:rsidRPr="00792FCA" w:rsidRDefault="00181097" w:rsidP="00610D71">
      <w:pPr>
        <w:pStyle w:val="body"/>
        <w:numPr>
          <w:ilvl w:val="0"/>
          <w:numId w:val="15"/>
        </w:numPr>
        <w:spacing w:before="0" w:beforeAutospacing="0" w:after="0" w:afterAutospacing="0"/>
        <w:ind w:left="900"/>
        <w:rPr>
          <w:rFonts w:ascii="Arial" w:hAnsi="Arial" w:cs="Arial"/>
          <w:sz w:val="20"/>
          <w:szCs w:val="20"/>
        </w:rPr>
      </w:pPr>
      <w:r w:rsidRPr="00792FCA">
        <w:rPr>
          <w:rFonts w:ascii="Arial" w:hAnsi="Arial" w:cs="Arial"/>
          <w:sz w:val="20"/>
          <w:szCs w:val="20"/>
        </w:rPr>
        <w:t>In all cases of initiation of a wire transfer by a closing attorney or other authorized party, a reasonable security procedure must be used to validate the transfer.</w:t>
      </w:r>
    </w:p>
    <w:p w:rsidR="00181097" w:rsidRPr="00792FCA" w:rsidRDefault="00181097" w:rsidP="00181097">
      <w:pPr>
        <w:autoSpaceDE w:val="0"/>
        <w:autoSpaceDN w:val="0"/>
        <w:adjustRightInd w:val="0"/>
        <w:spacing w:after="0" w:line="240" w:lineRule="auto"/>
        <w:rPr>
          <w:rFonts w:ascii="Arial" w:hAnsi="Arial" w:cs="Arial"/>
          <w:sz w:val="20"/>
          <w:szCs w:val="20"/>
        </w:rPr>
      </w:pPr>
    </w:p>
    <w:p w:rsidR="00181097" w:rsidRPr="00792FCA" w:rsidRDefault="00181097" w:rsidP="00181097">
      <w:pPr>
        <w:spacing w:after="0" w:line="240" w:lineRule="auto"/>
        <w:rPr>
          <w:rFonts w:ascii="Arial" w:hAnsi="Arial" w:cs="Arial"/>
          <w:b/>
          <w:sz w:val="20"/>
          <w:szCs w:val="20"/>
          <w:u w:val="single"/>
        </w:rPr>
      </w:pPr>
      <w:r w:rsidRPr="00792FCA">
        <w:rPr>
          <w:rFonts w:ascii="Arial" w:hAnsi="Arial" w:cs="Arial"/>
          <w:b/>
          <w:sz w:val="20"/>
          <w:szCs w:val="20"/>
          <w:u w:val="single"/>
        </w:rPr>
        <w:t>Mortgage Fraud Awareness and Prevention:</w:t>
      </w:r>
    </w:p>
    <w:p w:rsidR="00181097" w:rsidRPr="00792FCA" w:rsidRDefault="00181097" w:rsidP="00610D71">
      <w:pPr>
        <w:pStyle w:val="body"/>
        <w:spacing w:before="0" w:beforeAutospacing="0" w:after="0" w:afterAutospacing="0"/>
        <w:rPr>
          <w:rFonts w:ascii="Arial" w:hAnsi="Arial" w:cs="Arial"/>
          <w:sz w:val="20"/>
          <w:szCs w:val="20"/>
        </w:rPr>
      </w:pPr>
      <w:r w:rsidRPr="00792FCA">
        <w:rPr>
          <w:rFonts w:ascii="Arial" w:hAnsi="Arial" w:cs="Arial"/>
          <w:sz w:val="20"/>
          <w:szCs w:val="20"/>
        </w:rPr>
        <w:t>Purpose:</w:t>
      </w:r>
    </w:p>
    <w:p w:rsidR="00181097" w:rsidRPr="00792FCA" w:rsidRDefault="00181097" w:rsidP="00181097">
      <w:pPr>
        <w:pStyle w:val="body"/>
        <w:spacing w:before="0" w:beforeAutospacing="0" w:after="0" w:afterAutospacing="0"/>
        <w:ind w:left="270"/>
        <w:rPr>
          <w:rFonts w:ascii="Arial" w:hAnsi="Arial" w:cs="Arial"/>
          <w:sz w:val="20"/>
          <w:szCs w:val="20"/>
        </w:rPr>
      </w:pPr>
      <w:r w:rsidRPr="00792FCA">
        <w:rPr>
          <w:rFonts w:ascii="Arial" w:hAnsi="Arial" w:cs="Arial"/>
          <w:sz w:val="20"/>
          <w:szCs w:val="20"/>
        </w:rPr>
        <w:t xml:space="preserve">It is in the Firm’s own self-interest to be vigilant for signs of potential mortgage fraud.  The costs of becoming drawn into a mortgage fraud investigation are substantial, and you personally may be drawn into an investigation.   Regulators and Underwriters, as well as the general public, consider us to be a significant part of the process and system for minimizing mortgage fraud.  </w:t>
      </w:r>
    </w:p>
    <w:p w:rsidR="00181097" w:rsidRPr="00792FCA" w:rsidRDefault="00181097" w:rsidP="00181097">
      <w:pPr>
        <w:pStyle w:val="body"/>
        <w:spacing w:before="0" w:beforeAutospacing="0" w:after="0" w:afterAutospacing="0"/>
        <w:ind w:left="270"/>
        <w:rPr>
          <w:rFonts w:ascii="Arial" w:hAnsi="Arial" w:cs="Arial"/>
          <w:sz w:val="20"/>
          <w:szCs w:val="20"/>
        </w:rPr>
      </w:pPr>
      <w:r w:rsidRPr="00792FCA">
        <w:rPr>
          <w:rFonts w:ascii="Arial" w:hAnsi="Arial" w:cs="Arial"/>
          <w:sz w:val="20"/>
          <w:szCs w:val="20"/>
        </w:rPr>
        <w:t>The Firm will not tolerate ANY deviation from standard closing procedures that would result in Mortgage fraud</w:t>
      </w:r>
    </w:p>
    <w:p w:rsidR="00181097" w:rsidRPr="00792FCA" w:rsidRDefault="00181097" w:rsidP="00610D71">
      <w:pPr>
        <w:pStyle w:val="body"/>
        <w:spacing w:before="0" w:beforeAutospacing="0" w:after="0" w:afterAutospacing="0"/>
        <w:rPr>
          <w:rFonts w:ascii="Arial" w:hAnsi="Arial" w:cs="Arial"/>
          <w:sz w:val="20"/>
          <w:szCs w:val="20"/>
        </w:rPr>
      </w:pPr>
      <w:r w:rsidRPr="00792FCA">
        <w:rPr>
          <w:rFonts w:ascii="Arial" w:hAnsi="Arial" w:cs="Arial"/>
          <w:sz w:val="20"/>
          <w:szCs w:val="20"/>
        </w:rPr>
        <w:t>Procedure:</w:t>
      </w:r>
    </w:p>
    <w:p w:rsidR="00181097" w:rsidRPr="00792FCA" w:rsidRDefault="00181097" w:rsidP="00610D71">
      <w:pPr>
        <w:pStyle w:val="body"/>
        <w:numPr>
          <w:ilvl w:val="0"/>
          <w:numId w:val="17"/>
        </w:numPr>
        <w:spacing w:before="0" w:beforeAutospacing="0" w:after="0" w:afterAutospacing="0"/>
        <w:ind w:left="1170"/>
        <w:rPr>
          <w:rFonts w:ascii="Arial" w:hAnsi="Arial" w:cs="Arial"/>
          <w:sz w:val="20"/>
          <w:szCs w:val="20"/>
        </w:rPr>
      </w:pPr>
      <w:r w:rsidRPr="00792FCA">
        <w:rPr>
          <w:rFonts w:ascii="Arial" w:hAnsi="Arial" w:cs="Arial"/>
          <w:sz w:val="20"/>
          <w:szCs w:val="20"/>
        </w:rPr>
        <w:t>Adhere to all Underwriting Bulletins concerning Settlement Issues.</w:t>
      </w:r>
    </w:p>
    <w:p w:rsidR="00181097" w:rsidRPr="00792FCA" w:rsidRDefault="00181097" w:rsidP="00610D71">
      <w:pPr>
        <w:pStyle w:val="ListParagraph"/>
        <w:numPr>
          <w:ilvl w:val="0"/>
          <w:numId w:val="17"/>
        </w:numPr>
        <w:autoSpaceDE w:val="0"/>
        <w:autoSpaceDN w:val="0"/>
        <w:adjustRightInd w:val="0"/>
        <w:spacing w:before="0" w:after="0"/>
        <w:ind w:left="1170"/>
        <w:rPr>
          <w:rFonts w:ascii="Arial" w:hAnsi="Arial" w:cs="Arial"/>
          <w:color w:val="000000"/>
        </w:rPr>
      </w:pPr>
      <w:r w:rsidRPr="00792FCA">
        <w:rPr>
          <w:rFonts w:ascii="Arial" w:hAnsi="Arial" w:cs="Arial"/>
          <w:color w:val="000000"/>
        </w:rPr>
        <w:t>Mortgage fraud has many moving pieces, but can include any of the following:</w:t>
      </w:r>
    </w:p>
    <w:p w:rsidR="00181097" w:rsidRPr="00792FCA" w:rsidRDefault="00181097" w:rsidP="00610D71">
      <w:pPr>
        <w:pStyle w:val="ListParagraph"/>
        <w:numPr>
          <w:ilvl w:val="1"/>
          <w:numId w:val="17"/>
        </w:numPr>
        <w:autoSpaceDE w:val="0"/>
        <w:autoSpaceDN w:val="0"/>
        <w:adjustRightInd w:val="0"/>
        <w:spacing w:before="0" w:after="0"/>
        <w:ind w:left="1890"/>
        <w:rPr>
          <w:rFonts w:ascii="Arial" w:hAnsi="Arial" w:cs="Arial"/>
          <w:color w:val="000000"/>
        </w:rPr>
      </w:pPr>
      <w:r w:rsidRPr="00792FCA">
        <w:rPr>
          <w:rFonts w:ascii="Arial" w:hAnsi="Arial" w:cs="Arial"/>
          <w:color w:val="000000"/>
        </w:rPr>
        <w:t xml:space="preserve">A person that knowingly, with the intent to defraud, does any of the following is guilty of the crime of residential mortgage fraud, punishable as provided in this section. </w:t>
      </w:r>
    </w:p>
    <w:p w:rsidR="00181097" w:rsidRPr="00792FCA" w:rsidRDefault="00181097" w:rsidP="00610D71">
      <w:pPr>
        <w:pStyle w:val="ListParagraph"/>
        <w:numPr>
          <w:ilvl w:val="1"/>
          <w:numId w:val="17"/>
        </w:numPr>
        <w:autoSpaceDE w:val="0"/>
        <w:autoSpaceDN w:val="0"/>
        <w:adjustRightInd w:val="0"/>
        <w:spacing w:before="0" w:after="0"/>
        <w:ind w:left="1890"/>
        <w:rPr>
          <w:rFonts w:ascii="Arial" w:hAnsi="Arial" w:cs="Arial"/>
          <w:color w:val="000000"/>
        </w:rPr>
      </w:pPr>
      <w:r w:rsidRPr="00792FCA">
        <w:rPr>
          <w:rFonts w:ascii="Arial" w:hAnsi="Arial" w:cs="Arial"/>
          <w:color w:val="000000"/>
        </w:rPr>
        <w:t xml:space="preserve">A person that makes a false statement or misrepresentation concerning a material fact or deliberately conceals or fails to disclose a material fact during the mortgage lending process. </w:t>
      </w:r>
    </w:p>
    <w:p w:rsidR="00181097" w:rsidRPr="00792FCA" w:rsidRDefault="00181097" w:rsidP="00610D71">
      <w:pPr>
        <w:pStyle w:val="ListParagraph"/>
        <w:numPr>
          <w:ilvl w:val="1"/>
          <w:numId w:val="17"/>
        </w:numPr>
        <w:autoSpaceDE w:val="0"/>
        <w:autoSpaceDN w:val="0"/>
        <w:adjustRightInd w:val="0"/>
        <w:spacing w:before="0" w:after="0"/>
        <w:ind w:left="1890"/>
        <w:rPr>
          <w:rFonts w:ascii="Arial" w:hAnsi="Arial" w:cs="Arial"/>
          <w:color w:val="000000"/>
        </w:rPr>
      </w:pPr>
      <w:r w:rsidRPr="00792FCA">
        <w:rPr>
          <w:rFonts w:ascii="Arial" w:hAnsi="Arial" w:cs="Arial"/>
          <w:color w:val="000000"/>
        </w:rPr>
        <w:t xml:space="preserve">A person that, during the mortgage lending process, makes or uses a false pretense, or uses or facilitates the use of another person's false pretense, concerning the person's intent to perform a future event or to have a future event performed. </w:t>
      </w:r>
    </w:p>
    <w:p w:rsidR="00181097" w:rsidRPr="00792FCA" w:rsidRDefault="00181097" w:rsidP="00610D71">
      <w:pPr>
        <w:pStyle w:val="ListParagraph"/>
        <w:numPr>
          <w:ilvl w:val="1"/>
          <w:numId w:val="17"/>
        </w:numPr>
        <w:autoSpaceDE w:val="0"/>
        <w:autoSpaceDN w:val="0"/>
        <w:adjustRightInd w:val="0"/>
        <w:spacing w:before="0" w:after="0"/>
        <w:ind w:left="1890"/>
        <w:rPr>
          <w:rFonts w:ascii="Arial" w:hAnsi="Arial" w:cs="Arial"/>
          <w:color w:val="000000"/>
        </w:rPr>
      </w:pPr>
      <w:r w:rsidRPr="00792FCA">
        <w:rPr>
          <w:rFonts w:ascii="Arial" w:hAnsi="Arial" w:cs="Arial"/>
          <w:color w:val="000000"/>
        </w:rPr>
        <w:t xml:space="preserve">A person that uses or facilitates the use of a false statement or misrepresentation made by another person concerning a material fact or deliberately uses or facilitates the use of another person's concealment or failure to disclose a material fact during the mortgage lending process. </w:t>
      </w:r>
    </w:p>
    <w:p w:rsidR="00181097" w:rsidRPr="00792FCA" w:rsidRDefault="00181097" w:rsidP="00610D71">
      <w:pPr>
        <w:pStyle w:val="ListParagraph"/>
        <w:numPr>
          <w:ilvl w:val="1"/>
          <w:numId w:val="17"/>
        </w:numPr>
        <w:autoSpaceDE w:val="0"/>
        <w:autoSpaceDN w:val="0"/>
        <w:adjustRightInd w:val="0"/>
        <w:spacing w:before="0" w:after="0"/>
        <w:ind w:left="1890"/>
        <w:rPr>
          <w:rFonts w:ascii="Arial" w:hAnsi="Arial" w:cs="Arial"/>
          <w:color w:val="000000"/>
        </w:rPr>
      </w:pPr>
      <w:r w:rsidRPr="00792FCA">
        <w:rPr>
          <w:rFonts w:ascii="Arial" w:hAnsi="Arial" w:cs="Arial"/>
          <w:color w:val="000000"/>
        </w:rPr>
        <w:t xml:space="preserve">A person that receives or attempts to receive any proceeds or any other money in connection with the mortgage lending process that the person knows resulted from a violation. </w:t>
      </w:r>
    </w:p>
    <w:p w:rsidR="00181097" w:rsidRPr="00792FCA" w:rsidRDefault="00181097" w:rsidP="00610D71">
      <w:pPr>
        <w:pStyle w:val="ListParagraph"/>
        <w:numPr>
          <w:ilvl w:val="1"/>
          <w:numId w:val="17"/>
        </w:numPr>
        <w:autoSpaceDE w:val="0"/>
        <w:autoSpaceDN w:val="0"/>
        <w:adjustRightInd w:val="0"/>
        <w:spacing w:before="0" w:after="0"/>
        <w:ind w:left="1890"/>
        <w:rPr>
          <w:rFonts w:ascii="Arial" w:hAnsi="Arial" w:cs="Arial"/>
          <w:color w:val="000000"/>
        </w:rPr>
      </w:pPr>
      <w:r w:rsidRPr="00792FCA">
        <w:rPr>
          <w:rFonts w:ascii="Arial" w:hAnsi="Arial" w:cs="Arial"/>
          <w:color w:val="000000"/>
        </w:rPr>
        <w:t xml:space="preserve">A person that files or causes to be filed with the register of deeds of any county of this state any document involved in the mortgage lending process that the person knows to contain a deliberate material misstatement, misrepresentation, or omission. </w:t>
      </w:r>
    </w:p>
    <w:p w:rsidR="00181097" w:rsidRPr="00792FCA" w:rsidRDefault="00181097" w:rsidP="00610D71">
      <w:pPr>
        <w:pStyle w:val="ListParagraph"/>
        <w:numPr>
          <w:ilvl w:val="1"/>
          <w:numId w:val="17"/>
        </w:numPr>
        <w:autoSpaceDE w:val="0"/>
        <w:autoSpaceDN w:val="0"/>
        <w:adjustRightInd w:val="0"/>
        <w:spacing w:before="0" w:after="0"/>
        <w:ind w:left="1890"/>
        <w:rPr>
          <w:rFonts w:ascii="Arial" w:hAnsi="Arial" w:cs="Arial"/>
          <w:color w:val="000000"/>
        </w:rPr>
      </w:pPr>
      <w:r w:rsidRPr="00792FCA">
        <w:rPr>
          <w:rFonts w:ascii="Arial" w:hAnsi="Arial" w:cs="Arial"/>
          <w:color w:val="000000"/>
        </w:rPr>
        <w:t xml:space="preserve">A person that fails to disburse funds in accordance with the settlement or closing statement for the mortgage loan. </w:t>
      </w:r>
    </w:p>
    <w:p w:rsidR="00181097" w:rsidRPr="00792FCA" w:rsidRDefault="00181097" w:rsidP="00610D71">
      <w:pPr>
        <w:pStyle w:val="ListParagraph"/>
        <w:numPr>
          <w:ilvl w:val="1"/>
          <w:numId w:val="17"/>
        </w:numPr>
        <w:autoSpaceDE w:val="0"/>
        <w:autoSpaceDN w:val="0"/>
        <w:adjustRightInd w:val="0"/>
        <w:spacing w:before="0" w:after="0"/>
        <w:ind w:left="1890"/>
        <w:rPr>
          <w:rFonts w:ascii="Arial" w:hAnsi="Arial" w:cs="Arial"/>
          <w:color w:val="000000"/>
        </w:rPr>
      </w:pPr>
      <w:r w:rsidRPr="00792FCA">
        <w:rPr>
          <w:rFonts w:ascii="Arial" w:hAnsi="Arial" w:cs="Arial"/>
          <w:color w:val="000000"/>
        </w:rPr>
        <w:t>A person that solicits, encourages, or coerces another person to participate in any of the above activities.</w:t>
      </w:r>
    </w:p>
    <w:p w:rsidR="00181097" w:rsidRPr="00125451" w:rsidRDefault="00181097">
      <w:pPr>
        <w:rPr>
          <w:rStyle w:val="subheading1"/>
          <w:color w:val="auto"/>
        </w:rPr>
      </w:pPr>
    </w:p>
    <w:sectPr w:rsidR="00181097" w:rsidRPr="00125451" w:rsidSect="000A3E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2C25"/>
    <w:multiLevelType w:val="hybridMultilevel"/>
    <w:tmpl w:val="7AB86D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685254E"/>
    <w:multiLevelType w:val="hybridMultilevel"/>
    <w:tmpl w:val="CC7406E4"/>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start w:val="1"/>
      <w:numFmt w:val="bullet"/>
      <w:lvlText w:val=""/>
      <w:lvlJc w:val="left"/>
      <w:pPr>
        <w:ind w:left="2178" w:hanging="360"/>
      </w:pPr>
      <w:rPr>
        <w:rFonts w:ascii="Wingdings" w:hAnsi="Wingdings" w:hint="default"/>
      </w:rPr>
    </w:lvl>
    <w:lvl w:ilvl="3" w:tplc="04090001">
      <w:start w:val="1"/>
      <w:numFmt w:val="bullet"/>
      <w:lvlText w:val=""/>
      <w:lvlJc w:val="left"/>
      <w:pPr>
        <w:ind w:left="2898" w:hanging="360"/>
      </w:pPr>
      <w:rPr>
        <w:rFonts w:ascii="Symbol" w:hAnsi="Symbol" w:hint="default"/>
      </w:rPr>
    </w:lvl>
    <w:lvl w:ilvl="4" w:tplc="04090003">
      <w:start w:val="1"/>
      <w:numFmt w:val="bullet"/>
      <w:lvlText w:val="o"/>
      <w:lvlJc w:val="left"/>
      <w:pPr>
        <w:ind w:left="3618" w:hanging="360"/>
      </w:pPr>
      <w:rPr>
        <w:rFonts w:ascii="Courier New" w:hAnsi="Courier New" w:cs="Courier New" w:hint="default"/>
      </w:rPr>
    </w:lvl>
    <w:lvl w:ilvl="5" w:tplc="04090005">
      <w:start w:val="1"/>
      <w:numFmt w:val="bullet"/>
      <w:lvlText w:val=""/>
      <w:lvlJc w:val="left"/>
      <w:pPr>
        <w:ind w:left="4338" w:hanging="360"/>
      </w:pPr>
      <w:rPr>
        <w:rFonts w:ascii="Wingdings" w:hAnsi="Wingdings" w:hint="default"/>
      </w:rPr>
    </w:lvl>
    <w:lvl w:ilvl="6" w:tplc="04090001">
      <w:start w:val="1"/>
      <w:numFmt w:val="bullet"/>
      <w:lvlText w:val=""/>
      <w:lvlJc w:val="left"/>
      <w:pPr>
        <w:ind w:left="5058" w:hanging="360"/>
      </w:pPr>
      <w:rPr>
        <w:rFonts w:ascii="Symbol" w:hAnsi="Symbol" w:hint="default"/>
      </w:rPr>
    </w:lvl>
    <w:lvl w:ilvl="7" w:tplc="04090003">
      <w:start w:val="1"/>
      <w:numFmt w:val="bullet"/>
      <w:lvlText w:val="o"/>
      <w:lvlJc w:val="left"/>
      <w:pPr>
        <w:ind w:left="5778" w:hanging="360"/>
      </w:pPr>
      <w:rPr>
        <w:rFonts w:ascii="Courier New" w:hAnsi="Courier New" w:cs="Courier New" w:hint="default"/>
      </w:rPr>
    </w:lvl>
    <w:lvl w:ilvl="8" w:tplc="04090005">
      <w:start w:val="1"/>
      <w:numFmt w:val="bullet"/>
      <w:lvlText w:val=""/>
      <w:lvlJc w:val="left"/>
      <w:pPr>
        <w:ind w:left="6498" w:hanging="360"/>
      </w:pPr>
      <w:rPr>
        <w:rFonts w:ascii="Wingdings" w:hAnsi="Wingdings" w:hint="default"/>
      </w:rPr>
    </w:lvl>
  </w:abstractNum>
  <w:abstractNum w:abstractNumId="2">
    <w:nsid w:val="173B73BF"/>
    <w:multiLevelType w:val="hybridMultilevel"/>
    <w:tmpl w:val="5E52DA2C"/>
    <w:lvl w:ilvl="0" w:tplc="0409000F">
      <w:start w:val="1"/>
      <w:numFmt w:val="decimal"/>
      <w:lvlText w:val="%1."/>
      <w:lvlJc w:val="left"/>
      <w:pPr>
        <w:ind w:left="39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5F698D"/>
    <w:multiLevelType w:val="hybridMultilevel"/>
    <w:tmpl w:val="289674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2CF25B5"/>
    <w:multiLevelType w:val="hybridMultilevel"/>
    <w:tmpl w:val="E4BEF3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63B619B"/>
    <w:multiLevelType w:val="hybridMultilevel"/>
    <w:tmpl w:val="828C94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64B56D3"/>
    <w:multiLevelType w:val="hybridMultilevel"/>
    <w:tmpl w:val="5FA22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C13B58"/>
    <w:multiLevelType w:val="hybridMultilevel"/>
    <w:tmpl w:val="A0709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FF0669"/>
    <w:multiLevelType w:val="hybridMultilevel"/>
    <w:tmpl w:val="25D4B7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C904A10"/>
    <w:multiLevelType w:val="hybridMultilevel"/>
    <w:tmpl w:val="16A0506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6C42AA9"/>
    <w:multiLevelType w:val="hybridMultilevel"/>
    <w:tmpl w:val="D5CC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F2C06"/>
    <w:multiLevelType w:val="hybridMultilevel"/>
    <w:tmpl w:val="5934B5F4"/>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CA1455"/>
    <w:multiLevelType w:val="hybridMultilevel"/>
    <w:tmpl w:val="5716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70074B"/>
    <w:multiLevelType w:val="hybridMultilevel"/>
    <w:tmpl w:val="C956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F4295A"/>
    <w:multiLevelType w:val="hybridMultilevel"/>
    <w:tmpl w:val="A18AD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DE786B"/>
    <w:multiLevelType w:val="hybridMultilevel"/>
    <w:tmpl w:val="DAAED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EA7BC5"/>
    <w:multiLevelType w:val="hybridMultilevel"/>
    <w:tmpl w:val="6602DD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7">
    <w:nsid w:val="58C241B0"/>
    <w:multiLevelType w:val="hybridMultilevel"/>
    <w:tmpl w:val="83A4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56839"/>
    <w:multiLevelType w:val="hybridMultilevel"/>
    <w:tmpl w:val="7DE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5C1B61"/>
    <w:multiLevelType w:val="hybridMultilevel"/>
    <w:tmpl w:val="0D0AB8B4"/>
    <w:lvl w:ilvl="0" w:tplc="3782FEF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CF0D0A"/>
    <w:multiLevelType w:val="hybridMultilevel"/>
    <w:tmpl w:val="BD32D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18"/>
  </w:num>
  <w:num w:numId="5">
    <w:abstractNumId w:val="6"/>
  </w:num>
  <w:num w:numId="6">
    <w:abstractNumId w:val="15"/>
  </w:num>
  <w:num w:numId="7">
    <w:abstractNumId w:val="14"/>
  </w:num>
  <w:num w:numId="8">
    <w:abstractNumId w:val="19"/>
  </w:num>
  <w:num w:numId="9">
    <w:abstractNumId w:val="20"/>
  </w:num>
  <w:num w:numId="10">
    <w:abstractNumId w:val="1"/>
  </w:num>
  <w:num w:numId="11">
    <w:abstractNumId w:val="2"/>
  </w:num>
  <w:num w:numId="12">
    <w:abstractNumId w:val="11"/>
  </w:num>
  <w:num w:numId="13">
    <w:abstractNumId w:val="0"/>
  </w:num>
  <w:num w:numId="14">
    <w:abstractNumId w:val="8"/>
  </w:num>
  <w:num w:numId="15">
    <w:abstractNumId w:val="4"/>
  </w:num>
  <w:num w:numId="16">
    <w:abstractNumId w:val="9"/>
  </w:num>
  <w:num w:numId="17">
    <w:abstractNumId w:val="16"/>
  </w:num>
  <w:num w:numId="18">
    <w:abstractNumId w:val="3"/>
  </w:num>
  <w:num w:numId="19">
    <w:abstractNumId w:val="5"/>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CA"/>
    <w:rsid w:val="000054C0"/>
    <w:rsid w:val="000058E2"/>
    <w:rsid w:val="00026067"/>
    <w:rsid w:val="00026EF4"/>
    <w:rsid w:val="000324AB"/>
    <w:rsid w:val="00033C18"/>
    <w:rsid w:val="0004056E"/>
    <w:rsid w:val="00044BF9"/>
    <w:rsid w:val="000451B6"/>
    <w:rsid w:val="0005019D"/>
    <w:rsid w:val="000622D7"/>
    <w:rsid w:val="00067131"/>
    <w:rsid w:val="00076E69"/>
    <w:rsid w:val="00080312"/>
    <w:rsid w:val="0008076B"/>
    <w:rsid w:val="000849E6"/>
    <w:rsid w:val="00095DD1"/>
    <w:rsid w:val="000A3ECA"/>
    <w:rsid w:val="000A617B"/>
    <w:rsid w:val="000B1DD1"/>
    <w:rsid w:val="000D1332"/>
    <w:rsid w:val="000E178E"/>
    <w:rsid w:val="000E1E9C"/>
    <w:rsid w:val="000E2AD7"/>
    <w:rsid w:val="000E7C64"/>
    <w:rsid w:val="000F0203"/>
    <w:rsid w:val="000F34EC"/>
    <w:rsid w:val="000F57CC"/>
    <w:rsid w:val="0010008A"/>
    <w:rsid w:val="00102E82"/>
    <w:rsid w:val="00113F33"/>
    <w:rsid w:val="00114F64"/>
    <w:rsid w:val="0012371D"/>
    <w:rsid w:val="00125451"/>
    <w:rsid w:val="00126873"/>
    <w:rsid w:val="00132C7E"/>
    <w:rsid w:val="0013533A"/>
    <w:rsid w:val="00136FE5"/>
    <w:rsid w:val="0014197E"/>
    <w:rsid w:val="0016013F"/>
    <w:rsid w:val="001718E4"/>
    <w:rsid w:val="0017410D"/>
    <w:rsid w:val="00176818"/>
    <w:rsid w:val="0018007A"/>
    <w:rsid w:val="00181097"/>
    <w:rsid w:val="00191E29"/>
    <w:rsid w:val="001B3BB3"/>
    <w:rsid w:val="001C15B4"/>
    <w:rsid w:val="001C2B16"/>
    <w:rsid w:val="001C465A"/>
    <w:rsid w:val="001C6347"/>
    <w:rsid w:val="001C6D1A"/>
    <w:rsid w:val="001D5421"/>
    <w:rsid w:val="001E028A"/>
    <w:rsid w:val="001E491D"/>
    <w:rsid w:val="001F5202"/>
    <w:rsid w:val="001F6960"/>
    <w:rsid w:val="002115AE"/>
    <w:rsid w:val="002115BA"/>
    <w:rsid w:val="00217772"/>
    <w:rsid w:val="00221C4A"/>
    <w:rsid w:val="00224E29"/>
    <w:rsid w:val="00227294"/>
    <w:rsid w:val="00227A62"/>
    <w:rsid w:val="00230487"/>
    <w:rsid w:val="00244C9F"/>
    <w:rsid w:val="002472C9"/>
    <w:rsid w:val="00253BEB"/>
    <w:rsid w:val="00272EC0"/>
    <w:rsid w:val="002765D0"/>
    <w:rsid w:val="00276B30"/>
    <w:rsid w:val="00290268"/>
    <w:rsid w:val="00293E50"/>
    <w:rsid w:val="002D001F"/>
    <w:rsid w:val="002D116D"/>
    <w:rsid w:val="002D71F9"/>
    <w:rsid w:val="002D7DF7"/>
    <w:rsid w:val="002E068C"/>
    <w:rsid w:val="002E6D80"/>
    <w:rsid w:val="002F5C99"/>
    <w:rsid w:val="0030036C"/>
    <w:rsid w:val="003014A3"/>
    <w:rsid w:val="003038F2"/>
    <w:rsid w:val="003044CC"/>
    <w:rsid w:val="0030455B"/>
    <w:rsid w:val="003169B4"/>
    <w:rsid w:val="0031757A"/>
    <w:rsid w:val="00317804"/>
    <w:rsid w:val="00323315"/>
    <w:rsid w:val="003254EC"/>
    <w:rsid w:val="003325FF"/>
    <w:rsid w:val="003361DD"/>
    <w:rsid w:val="0034240E"/>
    <w:rsid w:val="00347E64"/>
    <w:rsid w:val="00355461"/>
    <w:rsid w:val="00361150"/>
    <w:rsid w:val="00366D47"/>
    <w:rsid w:val="0037190B"/>
    <w:rsid w:val="00374502"/>
    <w:rsid w:val="00380DCA"/>
    <w:rsid w:val="00384173"/>
    <w:rsid w:val="00386131"/>
    <w:rsid w:val="003A0B59"/>
    <w:rsid w:val="003A2AE7"/>
    <w:rsid w:val="003A4E65"/>
    <w:rsid w:val="003C303E"/>
    <w:rsid w:val="003C326A"/>
    <w:rsid w:val="003D1920"/>
    <w:rsid w:val="003E1750"/>
    <w:rsid w:val="003E383F"/>
    <w:rsid w:val="003E4796"/>
    <w:rsid w:val="00407FCC"/>
    <w:rsid w:val="0041369F"/>
    <w:rsid w:val="004156BB"/>
    <w:rsid w:val="00415F2F"/>
    <w:rsid w:val="00421A1C"/>
    <w:rsid w:val="00465D5E"/>
    <w:rsid w:val="0047080E"/>
    <w:rsid w:val="00477E57"/>
    <w:rsid w:val="00483842"/>
    <w:rsid w:val="004876E6"/>
    <w:rsid w:val="00490CEA"/>
    <w:rsid w:val="00492434"/>
    <w:rsid w:val="00496E69"/>
    <w:rsid w:val="004C2E49"/>
    <w:rsid w:val="004C4639"/>
    <w:rsid w:val="004D7F47"/>
    <w:rsid w:val="004E1B65"/>
    <w:rsid w:val="004F626E"/>
    <w:rsid w:val="005137CA"/>
    <w:rsid w:val="00513B82"/>
    <w:rsid w:val="00514837"/>
    <w:rsid w:val="00517376"/>
    <w:rsid w:val="005210DA"/>
    <w:rsid w:val="005238FD"/>
    <w:rsid w:val="00523B4B"/>
    <w:rsid w:val="00524050"/>
    <w:rsid w:val="00532F05"/>
    <w:rsid w:val="005363D5"/>
    <w:rsid w:val="00537C39"/>
    <w:rsid w:val="00537FCE"/>
    <w:rsid w:val="00540D31"/>
    <w:rsid w:val="005464DF"/>
    <w:rsid w:val="005465A6"/>
    <w:rsid w:val="00562B0F"/>
    <w:rsid w:val="00563D7F"/>
    <w:rsid w:val="00572A3E"/>
    <w:rsid w:val="00596674"/>
    <w:rsid w:val="005C3FEF"/>
    <w:rsid w:val="005C4EB2"/>
    <w:rsid w:val="005C6378"/>
    <w:rsid w:val="005D0A3A"/>
    <w:rsid w:val="005E0FF4"/>
    <w:rsid w:val="005E1329"/>
    <w:rsid w:val="005E1549"/>
    <w:rsid w:val="005E3048"/>
    <w:rsid w:val="005E4813"/>
    <w:rsid w:val="005E63B5"/>
    <w:rsid w:val="005E7CCB"/>
    <w:rsid w:val="005F49CD"/>
    <w:rsid w:val="00601BE9"/>
    <w:rsid w:val="00606464"/>
    <w:rsid w:val="006107A6"/>
    <w:rsid w:val="00610D71"/>
    <w:rsid w:val="00612F7F"/>
    <w:rsid w:val="0063764C"/>
    <w:rsid w:val="00645C67"/>
    <w:rsid w:val="00650711"/>
    <w:rsid w:val="00654696"/>
    <w:rsid w:val="006560E4"/>
    <w:rsid w:val="006563EF"/>
    <w:rsid w:val="0066249A"/>
    <w:rsid w:val="006777B6"/>
    <w:rsid w:val="00682658"/>
    <w:rsid w:val="006916A8"/>
    <w:rsid w:val="006916BC"/>
    <w:rsid w:val="006B459A"/>
    <w:rsid w:val="006B5C96"/>
    <w:rsid w:val="006C3A76"/>
    <w:rsid w:val="006C4B4F"/>
    <w:rsid w:val="006C5C74"/>
    <w:rsid w:val="006D081F"/>
    <w:rsid w:val="006D13ED"/>
    <w:rsid w:val="006D1DB7"/>
    <w:rsid w:val="006E6CA4"/>
    <w:rsid w:val="006F4FC5"/>
    <w:rsid w:val="006F5EBE"/>
    <w:rsid w:val="00706CAF"/>
    <w:rsid w:val="007223B3"/>
    <w:rsid w:val="00723559"/>
    <w:rsid w:val="007303F5"/>
    <w:rsid w:val="0073113B"/>
    <w:rsid w:val="00736F2A"/>
    <w:rsid w:val="00746973"/>
    <w:rsid w:val="007471B1"/>
    <w:rsid w:val="00751DC9"/>
    <w:rsid w:val="007630DE"/>
    <w:rsid w:val="00763B10"/>
    <w:rsid w:val="00771E10"/>
    <w:rsid w:val="007755F7"/>
    <w:rsid w:val="00781038"/>
    <w:rsid w:val="00784B88"/>
    <w:rsid w:val="00792FCA"/>
    <w:rsid w:val="007934E4"/>
    <w:rsid w:val="007955FB"/>
    <w:rsid w:val="007958BA"/>
    <w:rsid w:val="007C4A72"/>
    <w:rsid w:val="007C5F60"/>
    <w:rsid w:val="007D1BFB"/>
    <w:rsid w:val="007D723E"/>
    <w:rsid w:val="007E0A14"/>
    <w:rsid w:val="007E483E"/>
    <w:rsid w:val="007F643D"/>
    <w:rsid w:val="007F7105"/>
    <w:rsid w:val="00801D66"/>
    <w:rsid w:val="00803C93"/>
    <w:rsid w:val="008065E9"/>
    <w:rsid w:val="008071C2"/>
    <w:rsid w:val="008128E5"/>
    <w:rsid w:val="00813CAE"/>
    <w:rsid w:val="00813F44"/>
    <w:rsid w:val="008433DC"/>
    <w:rsid w:val="008447B4"/>
    <w:rsid w:val="0085342A"/>
    <w:rsid w:val="00867D2D"/>
    <w:rsid w:val="008748E5"/>
    <w:rsid w:val="00885A64"/>
    <w:rsid w:val="00886880"/>
    <w:rsid w:val="00891FCC"/>
    <w:rsid w:val="0089206E"/>
    <w:rsid w:val="00893755"/>
    <w:rsid w:val="00897C6F"/>
    <w:rsid w:val="008A6BA2"/>
    <w:rsid w:val="008B28AD"/>
    <w:rsid w:val="008C08C9"/>
    <w:rsid w:val="008C1095"/>
    <w:rsid w:val="008D07CE"/>
    <w:rsid w:val="008D70CB"/>
    <w:rsid w:val="008E21A7"/>
    <w:rsid w:val="008E2903"/>
    <w:rsid w:val="00900792"/>
    <w:rsid w:val="00901C64"/>
    <w:rsid w:val="0091055D"/>
    <w:rsid w:val="00914D39"/>
    <w:rsid w:val="00921E5E"/>
    <w:rsid w:val="00923033"/>
    <w:rsid w:val="00924583"/>
    <w:rsid w:val="00933E29"/>
    <w:rsid w:val="00941D0C"/>
    <w:rsid w:val="00945581"/>
    <w:rsid w:val="00962406"/>
    <w:rsid w:val="0096348E"/>
    <w:rsid w:val="009745E2"/>
    <w:rsid w:val="00980238"/>
    <w:rsid w:val="00985D6E"/>
    <w:rsid w:val="00986E1C"/>
    <w:rsid w:val="00997781"/>
    <w:rsid w:val="009A7129"/>
    <w:rsid w:val="009B5483"/>
    <w:rsid w:val="009B7989"/>
    <w:rsid w:val="009B79E8"/>
    <w:rsid w:val="009C1B99"/>
    <w:rsid w:val="009C1E78"/>
    <w:rsid w:val="009C1FD4"/>
    <w:rsid w:val="009C4DEE"/>
    <w:rsid w:val="009C54A9"/>
    <w:rsid w:val="009E28BE"/>
    <w:rsid w:val="009E5F66"/>
    <w:rsid w:val="009E709B"/>
    <w:rsid w:val="009F146D"/>
    <w:rsid w:val="009F4468"/>
    <w:rsid w:val="00A00347"/>
    <w:rsid w:val="00A011E9"/>
    <w:rsid w:val="00A12603"/>
    <w:rsid w:val="00A16975"/>
    <w:rsid w:val="00A25BE5"/>
    <w:rsid w:val="00A30B5D"/>
    <w:rsid w:val="00A32797"/>
    <w:rsid w:val="00A3440D"/>
    <w:rsid w:val="00A34A89"/>
    <w:rsid w:val="00A359D9"/>
    <w:rsid w:val="00A4391E"/>
    <w:rsid w:val="00A6111A"/>
    <w:rsid w:val="00A616C1"/>
    <w:rsid w:val="00A66CC0"/>
    <w:rsid w:val="00A76A1B"/>
    <w:rsid w:val="00A80425"/>
    <w:rsid w:val="00A8223A"/>
    <w:rsid w:val="00A826F3"/>
    <w:rsid w:val="00A83E4D"/>
    <w:rsid w:val="00A862C3"/>
    <w:rsid w:val="00A872D0"/>
    <w:rsid w:val="00A968C1"/>
    <w:rsid w:val="00AA26DE"/>
    <w:rsid w:val="00AA34E4"/>
    <w:rsid w:val="00AA60E8"/>
    <w:rsid w:val="00AB340F"/>
    <w:rsid w:val="00AB4A92"/>
    <w:rsid w:val="00AC1309"/>
    <w:rsid w:val="00AC7F58"/>
    <w:rsid w:val="00AD584F"/>
    <w:rsid w:val="00AD6D77"/>
    <w:rsid w:val="00AE1F11"/>
    <w:rsid w:val="00AE5C09"/>
    <w:rsid w:val="00AF20E7"/>
    <w:rsid w:val="00AF31A8"/>
    <w:rsid w:val="00AF387D"/>
    <w:rsid w:val="00AF4CAF"/>
    <w:rsid w:val="00B04893"/>
    <w:rsid w:val="00B1233B"/>
    <w:rsid w:val="00B22B1D"/>
    <w:rsid w:val="00B265A1"/>
    <w:rsid w:val="00B30F20"/>
    <w:rsid w:val="00B344DC"/>
    <w:rsid w:val="00B35848"/>
    <w:rsid w:val="00B44856"/>
    <w:rsid w:val="00B4532A"/>
    <w:rsid w:val="00B45F93"/>
    <w:rsid w:val="00B64EA9"/>
    <w:rsid w:val="00B73027"/>
    <w:rsid w:val="00B83FD6"/>
    <w:rsid w:val="00B84768"/>
    <w:rsid w:val="00B87769"/>
    <w:rsid w:val="00B9641B"/>
    <w:rsid w:val="00B979E9"/>
    <w:rsid w:val="00BA4200"/>
    <w:rsid w:val="00BA74F2"/>
    <w:rsid w:val="00BB2831"/>
    <w:rsid w:val="00BD02D1"/>
    <w:rsid w:val="00BD2AEF"/>
    <w:rsid w:val="00BD37E9"/>
    <w:rsid w:val="00BD7D3C"/>
    <w:rsid w:val="00BE30B9"/>
    <w:rsid w:val="00BE4383"/>
    <w:rsid w:val="00BE5CB7"/>
    <w:rsid w:val="00BE5EE7"/>
    <w:rsid w:val="00BE7EE3"/>
    <w:rsid w:val="00C104F8"/>
    <w:rsid w:val="00C13959"/>
    <w:rsid w:val="00C14789"/>
    <w:rsid w:val="00C153B3"/>
    <w:rsid w:val="00C228FD"/>
    <w:rsid w:val="00C250A2"/>
    <w:rsid w:val="00C25A19"/>
    <w:rsid w:val="00C35563"/>
    <w:rsid w:val="00C4483D"/>
    <w:rsid w:val="00C45232"/>
    <w:rsid w:val="00C521D8"/>
    <w:rsid w:val="00C529E1"/>
    <w:rsid w:val="00C53509"/>
    <w:rsid w:val="00C762B0"/>
    <w:rsid w:val="00C76A63"/>
    <w:rsid w:val="00C8102E"/>
    <w:rsid w:val="00C838BF"/>
    <w:rsid w:val="00C9079C"/>
    <w:rsid w:val="00C94117"/>
    <w:rsid w:val="00C96FCD"/>
    <w:rsid w:val="00CA174D"/>
    <w:rsid w:val="00CA5C00"/>
    <w:rsid w:val="00CA6F9B"/>
    <w:rsid w:val="00CB52CE"/>
    <w:rsid w:val="00CE572A"/>
    <w:rsid w:val="00CF2869"/>
    <w:rsid w:val="00CF2FC7"/>
    <w:rsid w:val="00D046EF"/>
    <w:rsid w:val="00D056C5"/>
    <w:rsid w:val="00D10772"/>
    <w:rsid w:val="00D108E5"/>
    <w:rsid w:val="00D1160B"/>
    <w:rsid w:val="00D11D53"/>
    <w:rsid w:val="00D404D5"/>
    <w:rsid w:val="00D40726"/>
    <w:rsid w:val="00D40BE6"/>
    <w:rsid w:val="00D4316B"/>
    <w:rsid w:val="00D4327E"/>
    <w:rsid w:val="00D449BE"/>
    <w:rsid w:val="00D50B2C"/>
    <w:rsid w:val="00D56DA3"/>
    <w:rsid w:val="00D7300C"/>
    <w:rsid w:val="00D85F1F"/>
    <w:rsid w:val="00D90609"/>
    <w:rsid w:val="00D92F5F"/>
    <w:rsid w:val="00D9364D"/>
    <w:rsid w:val="00DA005E"/>
    <w:rsid w:val="00DA04B9"/>
    <w:rsid w:val="00DA3C25"/>
    <w:rsid w:val="00DB3C8B"/>
    <w:rsid w:val="00DC15CD"/>
    <w:rsid w:val="00DC434A"/>
    <w:rsid w:val="00DC7927"/>
    <w:rsid w:val="00DE3CEB"/>
    <w:rsid w:val="00DF1D52"/>
    <w:rsid w:val="00DF3990"/>
    <w:rsid w:val="00DF6ED0"/>
    <w:rsid w:val="00E058FB"/>
    <w:rsid w:val="00E05A5A"/>
    <w:rsid w:val="00E2153C"/>
    <w:rsid w:val="00E31A11"/>
    <w:rsid w:val="00E46CEA"/>
    <w:rsid w:val="00E4787D"/>
    <w:rsid w:val="00E632E9"/>
    <w:rsid w:val="00E74E8F"/>
    <w:rsid w:val="00E814B9"/>
    <w:rsid w:val="00E83F63"/>
    <w:rsid w:val="00EA2CFC"/>
    <w:rsid w:val="00EA2D5D"/>
    <w:rsid w:val="00EA64AE"/>
    <w:rsid w:val="00EB08D3"/>
    <w:rsid w:val="00EB14C8"/>
    <w:rsid w:val="00EB158E"/>
    <w:rsid w:val="00EC44F7"/>
    <w:rsid w:val="00ED0635"/>
    <w:rsid w:val="00EE76A2"/>
    <w:rsid w:val="00F05BFF"/>
    <w:rsid w:val="00F1191F"/>
    <w:rsid w:val="00F14719"/>
    <w:rsid w:val="00F271AF"/>
    <w:rsid w:val="00F350ED"/>
    <w:rsid w:val="00F3649B"/>
    <w:rsid w:val="00F367A0"/>
    <w:rsid w:val="00F65D8E"/>
    <w:rsid w:val="00F6668E"/>
    <w:rsid w:val="00F81BD7"/>
    <w:rsid w:val="00F86B24"/>
    <w:rsid w:val="00F9113E"/>
    <w:rsid w:val="00F9265A"/>
    <w:rsid w:val="00FA30E0"/>
    <w:rsid w:val="00FA51F6"/>
    <w:rsid w:val="00FA6080"/>
    <w:rsid w:val="00FB1A70"/>
    <w:rsid w:val="00FB33F2"/>
    <w:rsid w:val="00FC0B76"/>
    <w:rsid w:val="00FC0DD6"/>
    <w:rsid w:val="00FD10E3"/>
    <w:rsid w:val="00FD18DC"/>
    <w:rsid w:val="00FD4FE8"/>
    <w:rsid w:val="00FE23CC"/>
    <w:rsid w:val="00FF0666"/>
    <w:rsid w:val="00FF2926"/>
    <w:rsid w:val="00FF5B14"/>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A3E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A3E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ECA"/>
    <w:rPr>
      <w:rFonts w:ascii="Tahoma" w:hAnsi="Tahoma" w:cs="Tahoma"/>
      <w:sz w:val="16"/>
      <w:szCs w:val="16"/>
    </w:rPr>
  </w:style>
  <w:style w:type="character" w:customStyle="1" w:styleId="heading10">
    <w:name w:val="heading1"/>
    <w:basedOn w:val="DefaultParagraphFont"/>
    <w:rsid w:val="000A3ECA"/>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0A3ECA"/>
    <w:rPr>
      <w:rFonts w:ascii="Verdana" w:hAnsi="Verdana" w:hint="default"/>
      <w:b/>
      <w:bCs/>
      <w:strike w:val="0"/>
      <w:dstrike w:val="0"/>
      <w:color w:val="666666"/>
      <w:sz w:val="21"/>
      <w:szCs w:val="21"/>
      <w:u w:val="none"/>
      <w:effect w:val="none"/>
    </w:rPr>
  </w:style>
  <w:style w:type="character" w:customStyle="1" w:styleId="Heading1Char">
    <w:name w:val="Heading 1 Char"/>
    <w:basedOn w:val="DefaultParagraphFont"/>
    <w:link w:val="Heading1"/>
    <w:rsid w:val="000A3E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3EC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A3ECA"/>
    <w:pPr>
      <w:spacing w:before="120" w:after="12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0A3ECA"/>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007A"/>
    <w:rPr>
      <w:color w:val="0000FF"/>
      <w:u w:val="single"/>
    </w:rPr>
  </w:style>
  <w:style w:type="paragraph" w:styleId="NormalWeb">
    <w:name w:val="Normal (Web)"/>
    <w:basedOn w:val="Normal"/>
    <w:uiPriority w:val="99"/>
    <w:unhideWhenUsed/>
    <w:rsid w:val="0018109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81097"/>
    <w:pPr>
      <w:spacing w:after="0" w:line="240" w:lineRule="auto"/>
    </w:pPr>
    <w:rPr>
      <w:rFonts w:ascii="Segoe UI" w:eastAsia="Calibri" w:hAnsi="Segoe UI" w:cs="Times New Roman"/>
      <w:sz w:val="20"/>
    </w:rPr>
  </w:style>
  <w:style w:type="paragraph" w:customStyle="1" w:styleId="body">
    <w:name w:val="body"/>
    <w:basedOn w:val="Normal"/>
    <w:rsid w:val="00181097"/>
    <w:pPr>
      <w:spacing w:before="100" w:beforeAutospacing="1" w:after="100" w:afterAutospacing="1" w:line="240" w:lineRule="auto"/>
    </w:pPr>
    <w:rPr>
      <w:rFonts w:ascii="Verdana" w:eastAsia="Times New Roman" w:hAnsi="Verdan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A3E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A3E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ECA"/>
    <w:rPr>
      <w:rFonts w:ascii="Tahoma" w:hAnsi="Tahoma" w:cs="Tahoma"/>
      <w:sz w:val="16"/>
      <w:szCs w:val="16"/>
    </w:rPr>
  </w:style>
  <w:style w:type="character" w:customStyle="1" w:styleId="heading10">
    <w:name w:val="heading1"/>
    <w:basedOn w:val="DefaultParagraphFont"/>
    <w:rsid w:val="000A3ECA"/>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0A3ECA"/>
    <w:rPr>
      <w:rFonts w:ascii="Verdana" w:hAnsi="Verdana" w:hint="default"/>
      <w:b/>
      <w:bCs/>
      <w:strike w:val="0"/>
      <w:dstrike w:val="0"/>
      <w:color w:val="666666"/>
      <w:sz w:val="21"/>
      <w:szCs w:val="21"/>
      <w:u w:val="none"/>
      <w:effect w:val="none"/>
    </w:rPr>
  </w:style>
  <w:style w:type="character" w:customStyle="1" w:styleId="Heading1Char">
    <w:name w:val="Heading 1 Char"/>
    <w:basedOn w:val="DefaultParagraphFont"/>
    <w:link w:val="Heading1"/>
    <w:rsid w:val="000A3E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3EC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A3ECA"/>
    <w:pPr>
      <w:spacing w:before="120" w:after="12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0A3ECA"/>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007A"/>
    <w:rPr>
      <w:color w:val="0000FF"/>
      <w:u w:val="single"/>
    </w:rPr>
  </w:style>
  <w:style w:type="paragraph" w:styleId="NormalWeb">
    <w:name w:val="Normal (Web)"/>
    <w:basedOn w:val="Normal"/>
    <w:uiPriority w:val="99"/>
    <w:unhideWhenUsed/>
    <w:rsid w:val="0018109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81097"/>
    <w:pPr>
      <w:spacing w:after="0" w:line="240" w:lineRule="auto"/>
    </w:pPr>
    <w:rPr>
      <w:rFonts w:ascii="Segoe UI" w:eastAsia="Calibri" w:hAnsi="Segoe UI" w:cs="Times New Roman"/>
      <w:sz w:val="20"/>
    </w:rPr>
  </w:style>
  <w:style w:type="paragraph" w:customStyle="1" w:styleId="body">
    <w:name w:val="body"/>
    <w:basedOn w:val="Normal"/>
    <w:rsid w:val="00181097"/>
    <w:pPr>
      <w:spacing w:before="100" w:beforeAutospacing="1" w:after="100" w:afterAutospacing="1" w:line="240" w:lineRule="auto"/>
    </w:pPr>
    <w:rPr>
      <w:rFonts w:ascii="Verdana" w:eastAsia="Times New Roman" w:hAnsi="Verdan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8</cp:revision>
  <dcterms:created xsi:type="dcterms:W3CDTF">2014-03-17T01:27:00Z</dcterms:created>
  <dcterms:modified xsi:type="dcterms:W3CDTF">2014-03-17T03:37:00Z</dcterms:modified>
</cp:coreProperties>
</file>